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240" w:lineRule="auto"/>
        <w:rPr>
          <w:sz w:val="18"/>
          <w:szCs w:val="18"/>
        </w:rPr>
      </w:pPr>
      <w:r w:rsidDel="00000000" w:rsidR="00000000" w:rsidRPr="00000000">
        <w:rPr>
          <w:rtl w:val="0"/>
        </w:rPr>
      </w:r>
    </w:p>
    <w:p w:rsidR="00000000" w:rsidDel="00000000" w:rsidP="00000000" w:rsidRDefault="00000000" w:rsidRPr="00000000" w14:paraId="00000002">
      <w:pPr>
        <w:spacing w:line="240" w:lineRule="auto"/>
        <w:jc w:val="both"/>
        <w:rPr>
          <w:rFonts w:ascii="English111 Adagio BT" w:cs="English111 Adagio BT" w:eastAsia="English111 Adagio BT" w:hAnsi="English111 Adagio BT"/>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4819"/>
          <w:tab w:val="right" w:leader="none" w:pos="9638"/>
        </w:tabs>
        <w:spacing w:line="240" w:lineRule="auto"/>
        <w:rPr>
          <w:rFonts w:ascii="Verdana" w:cs="Verdana" w:eastAsia="Verdana" w:hAnsi="Verdana"/>
          <w:sz w:val="17.994857788085938"/>
          <w:szCs w:val="17.994857788085938"/>
        </w:rPr>
      </w:pPr>
      <w:r w:rsidDel="00000000" w:rsidR="00000000" w:rsidRPr="00000000">
        <w:rPr>
          <w:rFonts w:ascii="Times New Roman" w:cs="Times New Roman" w:eastAsia="Times New Roman" w:hAnsi="Times New Roman"/>
          <w:sz w:val="20"/>
          <w:szCs w:val="20"/>
        </w:rPr>
        <w:drawing>
          <wp:inline distB="0" distT="0" distL="0" distR="0">
            <wp:extent cx="6120000" cy="10795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61200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ISTITUTO COMPRENSIVO STATALE “P. THOUAR E L. GONZAGA”</w:t>
      </w:r>
    </w:p>
    <w:p w:rsidR="00000000" w:rsidDel="00000000" w:rsidP="00000000" w:rsidRDefault="00000000" w:rsidRPr="00000000" w14:paraId="00000005">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Tabacchi 15/a, Milano - te 02 88440480 - c.f. 80128490150 - C.M. MIIC8CD00E </w:t>
      </w:r>
      <w:r w:rsidDel="00000000" w:rsidR="00000000" w:rsidRPr="00000000">
        <w:rPr>
          <w:rFonts w:ascii="Times New Roman" w:cs="Times New Roman" w:eastAsia="Times New Roman" w:hAnsi="Times New Roman"/>
          <w:sz w:val="16"/>
          <w:szCs w:val="16"/>
          <w:rtl w:val="0"/>
        </w:rPr>
        <w:t xml:space="preserve">Scuole aggregate:</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Primaria  “</w:t>
      </w:r>
      <w:r w:rsidDel="00000000" w:rsidR="00000000" w:rsidRPr="00000000">
        <w:rPr>
          <w:rFonts w:ascii="Times New Roman" w:cs="Times New Roman" w:eastAsia="Times New Roman" w:hAnsi="Times New Roman"/>
          <w:b w:val="1"/>
          <w:sz w:val="14"/>
          <w:szCs w:val="14"/>
          <w:rtl w:val="0"/>
        </w:rPr>
        <w:t xml:space="preserve">THOUAR - GONZAGA</w:t>
      </w:r>
      <w:r w:rsidDel="00000000" w:rsidR="00000000" w:rsidRPr="00000000">
        <w:rPr>
          <w:rFonts w:ascii="Times New Roman" w:cs="Times New Roman" w:eastAsia="Times New Roman" w:hAnsi="Times New Roman"/>
          <w:sz w:val="14"/>
          <w:szCs w:val="14"/>
          <w:rtl w:val="0"/>
        </w:rPr>
        <w:t xml:space="preserve">” - Via Brunacci 2/4 - Scuola Primaria “</w:t>
      </w:r>
      <w:r w:rsidDel="00000000" w:rsidR="00000000" w:rsidRPr="00000000">
        <w:rPr>
          <w:rFonts w:ascii="Times New Roman" w:cs="Times New Roman" w:eastAsia="Times New Roman" w:hAnsi="Times New Roman"/>
          <w:b w:val="1"/>
          <w:sz w:val="14"/>
          <w:szCs w:val="14"/>
          <w:rtl w:val="0"/>
        </w:rPr>
        <w:t xml:space="preserve">PIOLTI DE’ BIANCHI - G. STAMPA</w:t>
      </w:r>
      <w:r w:rsidDel="00000000" w:rsidR="00000000" w:rsidRPr="00000000">
        <w:rPr>
          <w:rFonts w:ascii="Times New Roman" w:cs="Times New Roman" w:eastAsia="Times New Roman" w:hAnsi="Times New Roman"/>
          <w:sz w:val="14"/>
          <w:szCs w:val="14"/>
          <w:rtl w:val="0"/>
        </w:rPr>
        <w:t xml:space="preserve">” - Via Gentilino 10/14</w:t>
      </w:r>
    </w:p>
    <w:p w:rsidR="00000000" w:rsidDel="00000000" w:rsidP="00000000" w:rsidRDefault="00000000" w:rsidRPr="00000000" w14:paraId="00000007">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Secondaria I grado “</w:t>
      </w:r>
      <w:r w:rsidDel="00000000" w:rsidR="00000000" w:rsidRPr="00000000">
        <w:rPr>
          <w:rFonts w:ascii="Times New Roman" w:cs="Times New Roman" w:eastAsia="Times New Roman" w:hAnsi="Times New Roman"/>
          <w:b w:val="1"/>
          <w:sz w:val="14"/>
          <w:szCs w:val="14"/>
          <w:rtl w:val="0"/>
        </w:rPr>
        <w:t xml:space="preserve">O. TABACCHI</w:t>
      </w:r>
      <w:r w:rsidDel="00000000" w:rsidR="00000000" w:rsidRPr="00000000">
        <w:rPr>
          <w:rFonts w:ascii="Times New Roman" w:cs="Times New Roman" w:eastAsia="Times New Roman" w:hAnsi="Times New Roman"/>
          <w:sz w:val="14"/>
          <w:szCs w:val="14"/>
          <w:rtl w:val="0"/>
        </w:rPr>
        <w:t xml:space="preserve">” - Via Tabacchi 15/a</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Scuola Primaria e Secondaria I grado a ordinamento musicale “</w:t>
      </w:r>
      <w:r w:rsidDel="00000000" w:rsidR="00000000" w:rsidRPr="00000000">
        <w:rPr>
          <w:rFonts w:ascii="Times New Roman" w:cs="Times New Roman" w:eastAsia="Times New Roman" w:hAnsi="Times New Roman"/>
          <w:b w:val="1"/>
          <w:sz w:val="14"/>
          <w:szCs w:val="14"/>
          <w:rtl w:val="0"/>
        </w:rPr>
        <w:t xml:space="preserve">F. GAFFURIO</w:t>
      </w:r>
      <w:r w:rsidDel="00000000" w:rsidR="00000000" w:rsidRPr="00000000">
        <w:rPr>
          <w:rFonts w:ascii="Times New Roman" w:cs="Times New Roman" w:eastAsia="Times New Roman" w:hAnsi="Times New Roman"/>
          <w:sz w:val="14"/>
          <w:szCs w:val="14"/>
          <w:rtl w:val="0"/>
        </w:rPr>
        <w:t xml:space="preserve">” - Via Corsico, 6</w:t>
      </w:r>
      <w:r w:rsidDel="00000000" w:rsidR="00000000" w:rsidRPr="00000000">
        <w:rPr>
          <w:rtl w:val="0"/>
        </w:rPr>
      </w:r>
    </w:p>
    <w:p w:rsidR="00000000" w:rsidDel="00000000" w:rsidP="00000000" w:rsidRDefault="00000000" w:rsidRPr="00000000" w14:paraId="00000009">
      <w:pPr>
        <w:spacing w:line="240" w:lineRule="auto"/>
        <w:jc w:val="both"/>
        <w:rPr>
          <w:rFonts w:ascii="Corbel" w:cs="Corbel" w:eastAsia="Corbel" w:hAnsi="Corbel"/>
          <w:sz w:val="16"/>
          <w:szCs w:val="16"/>
        </w:rPr>
      </w:pPr>
      <w:r w:rsidDel="00000000" w:rsidR="00000000" w:rsidRPr="00000000">
        <w:rPr>
          <w:rFonts w:ascii="Corbel" w:cs="Corbel" w:eastAsia="Corbel" w:hAnsi="Corbel"/>
          <w:sz w:val="16"/>
          <w:szCs w:val="16"/>
          <w:rtl w:val="0"/>
        </w:rPr>
        <w:t xml:space="preserve">                                                                                                                                </w:t>
      </w:r>
    </w:p>
    <w:p w:rsidR="00000000" w:rsidDel="00000000" w:rsidP="00000000" w:rsidRDefault="00000000" w:rsidRPr="00000000" w14:paraId="0000000A">
      <w:pPr>
        <w:widowControl w:val="0"/>
        <w:tabs>
          <w:tab w:val="left" w:leader="none" w:pos="1733"/>
        </w:tabs>
        <w:spacing w:line="240" w:lineRule="auto"/>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B">
      <w:pPr>
        <w:widowControl w:val="0"/>
        <w:tabs>
          <w:tab w:val="left" w:leader="none" w:pos="1733"/>
        </w:tabs>
        <w:spacing w:line="240" w:lineRule="auto"/>
        <w:ind w:right="284"/>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1733"/>
        </w:tabs>
        <w:spacing w:line="240" w:lineRule="auto"/>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E/O TUTOR</w:t>
      </w:r>
    </w:p>
    <w:p w:rsidR="00000000" w:rsidDel="00000000" w:rsidP="00000000" w:rsidRDefault="00000000" w:rsidRPr="00000000" w14:paraId="0000000D">
      <w:pPr>
        <w:widowControl w:val="0"/>
        <w:tabs>
          <w:tab w:val="left" w:leader="none" w:pos="1733"/>
        </w:tabs>
        <w:spacing w:line="240" w:lineRule="auto"/>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E">
      <w:pPr>
        <w:keepNext w:val="1"/>
        <w:keepLines w:val="1"/>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Nato a _______________ il______________ residente a_____________ Provincia di _________</w:t>
      </w:r>
    </w:p>
    <w:p w:rsidR="00000000" w:rsidDel="00000000" w:rsidP="00000000" w:rsidRDefault="00000000" w:rsidRPr="00000000" w14:paraId="00000012">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Via________________________________________________ Codice Fiscale __________________ </w:t>
      </w:r>
    </w:p>
    <w:p w:rsidR="00000000" w:rsidDel="00000000" w:rsidP="00000000" w:rsidRDefault="00000000" w:rsidRPr="00000000" w14:paraId="00000014">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Partecipante alla selezione in qualità di ______________________________ nel progetto di cui in oggetto</w:t>
      </w:r>
    </w:p>
    <w:p w:rsidR="00000000" w:rsidDel="00000000" w:rsidP="00000000" w:rsidRDefault="00000000" w:rsidRPr="00000000" w14:paraId="00000016">
      <w:pPr>
        <w:keepNext w:val="1"/>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18">
      <w:pPr>
        <w:spacing w:after="120" w:before="12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A">
      <w:pPr>
        <w:spacing w:after="120" w:before="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numPr>
          <w:ilvl w:val="0"/>
          <w:numId w:val="1"/>
        </w:numPr>
        <w:spacing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C">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E">
      <w:pPr>
        <w:numPr>
          <w:ilvl w:val="0"/>
          <w:numId w:val="2"/>
        </w:numPr>
        <w:spacing w:line="240" w:lineRule="auto"/>
        <w:ind w:left="1068" w:hanging="360"/>
        <w:jc w:val="both"/>
        <w:rPr>
          <w:sz w:val="24"/>
          <w:szCs w:val="24"/>
        </w:rPr>
      </w:pPr>
      <w:r w:rsidDel="00000000" w:rsidR="00000000" w:rsidRPr="00000000">
        <w:rPr>
          <w:rFonts w:ascii="Times New Roman" w:cs="Times New Roman" w:eastAsia="Times New Roman" w:hAnsi="Times New Roman"/>
          <w:sz w:val="24"/>
          <w:szCs w:val="24"/>
          <w:rtl w:val="0"/>
        </w:rPr>
        <w:t xml:space="preserve">non coinvolge interessi propri;</w:t>
      </w:r>
    </w:p>
    <w:p w:rsidR="00000000" w:rsidDel="00000000" w:rsidP="00000000" w:rsidRDefault="00000000" w:rsidRPr="00000000" w14:paraId="0000001F">
      <w:pPr>
        <w:numPr>
          <w:ilvl w:val="0"/>
          <w:numId w:val="2"/>
        </w:numPr>
        <w:spacing w:line="240" w:lineRule="auto"/>
        <w:ind w:left="1068" w:hanging="360"/>
        <w:jc w:val="both"/>
        <w:rPr>
          <w:sz w:val="24"/>
          <w:szCs w:val="24"/>
        </w:rPr>
      </w:pPr>
      <w:r w:rsidDel="00000000" w:rsidR="00000000" w:rsidRPr="00000000">
        <w:rPr>
          <w:rFonts w:ascii="Times New Roman" w:cs="Times New Roman" w:eastAsia="Times New Roman" w:hAnsi="Times New Roman"/>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0">
      <w:pPr>
        <w:numPr>
          <w:ilvl w:val="0"/>
          <w:numId w:val="2"/>
        </w:numPr>
        <w:spacing w:line="240" w:lineRule="auto"/>
        <w:ind w:left="1068" w:hanging="360"/>
        <w:jc w:val="both"/>
        <w:rPr>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1">
      <w:pPr>
        <w:numPr>
          <w:ilvl w:val="0"/>
          <w:numId w:val="2"/>
        </w:numPr>
        <w:spacing w:line="240" w:lineRule="auto"/>
        <w:ind w:left="1068" w:hanging="360"/>
        <w:jc w:val="both"/>
        <w:rPr>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2">
      <w:pPr>
        <w:spacing w:line="240" w:lineRule="auto"/>
        <w:ind w:left="10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4">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8">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A">
      <w:pPr>
        <w:spacing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1">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Firmato</w:t>
      </w:r>
    </w:p>
    <w:p w:rsidR="00000000" w:rsidDel="00000000" w:rsidP="00000000" w:rsidRDefault="00000000" w:rsidRPr="00000000" w14:paraId="00000032">
      <w:pPr>
        <w:tabs>
          <w:tab w:val="left" w:leader="none" w:pos="6585"/>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t xml:space="preserve">__________________</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8" w:w="11906" w:orient="portrait"/>
      <w:pgMar w:bottom="1133.8582677165355"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English111 Adagio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