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SOSTEGNO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PRIMARIA-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left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interpello prot. 3271 - 22/04/202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