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POSTO COMUNE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PRIMARIA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(al 13/12/2024) 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interpello prot. N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7413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20/11/2024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 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