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658EBEE6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</w:t>
      </w:r>
      <w:r w:rsidR="009B0C26">
        <w:t>ercorso di educazione all’affettività per adolescenti: come creare sintonia fra il mondo maschile e femminile ” Secondaria di Sabbioneta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513E2008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9B0C26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0C26">
        <w:rPr>
          <w:sz w:val="18"/>
        </w:rPr>
        <w:t>Percorso di educazione all’affettività per adolescenti. Come creare sintonia fra il mondo maschile e femminile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 xml:space="preserve">di aver ricevuto l’informativa fornita dal titolare del trattamento ai sensi dell’art. 13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0C26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