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706E3F24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8D635D">
        <w:t>Stiamo bene insieme</w:t>
      </w:r>
      <w:r w:rsidRPr="00B32EBC">
        <w:t>”</w:t>
      </w:r>
      <w:r w:rsidR="00E2020B">
        <w:t xml:space="preserve"> </w:t>
      </w:r>
      <w:r w:rsidR="008D635D">
        <w:t>Secondaria di Gazzuol</w:t>
      </w:r>
      <w:r w:rsidR="009B15A4">
        <w:t>o</w:t>
      </w:r>
      <w:r w:rsidR="00741336">
        <w:t>.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6CF2C6EB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 w:rsidR="008D635D">
        <w:rPr>
          <w:sz w:val="18"/>
        </w:rPr>
        <w:t>l’</w:t>
      </w:r>
      <w:r>
        <w:rPr>
          <w:spacing w:val="-3"/>
          <w:sz w:val="18"/>
        </w:rPr>
        <w:t xml:space="preserve"> 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8D635D">
        <w:rPr>
          <w:sz w:val="18"/>
        </w:rPr>
        <w:t>Stiamo bene insieme</w:t>
      </w:r>
      <w:r w:rsidR="00821AFE"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6B2E6B"/>
    <w:rsid w:val="00741336"/>
    <w:rsid w:val="00821AFE"/>
    <w:rsid w:val="00850493"/>
    <w:rsid w:val="008D635D"/>
    <w:rsid w:val="008F0AA9"/>
    <w:rsid w:val="009B15A4"/>
    <w:rsid w:val="00B32EBC"/>
    <w:rsid w:val="00B619EC"/>
    <w:rsid w:val="00C11A2A"/>
    <w:rsid w:val="00E2020B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2022-02-04T13:48:00Z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