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1" w:rsidRDefault="00446DD8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MOD. 2</w:t>
      </w:r>
    </w:p>
    <w:p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</w:t>
      </w:r>
      <w:proofErr w:type="spellStart"/>
      <w:r>
        <w:rPr>
          <w:rFonts w:ascii="Arial Narrow" w:hAnsi="Arial Narrow"/>
        </w:rPr>
        <w:t>sottoscritt</w:t>
      </w:r>
      <w:proofErr w:type="spellEnd"/>
      <w:r>
        <w:rPr>
          <w:rFonts w:ascii="Arial Narrow" w:hAnsi="Arial Narrow"/>
        </w:rPr>
        <w:t xml:space="preserve"> __  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>in riferimento a quanto previsto dal C.C.N.I. concernente la mobilità del personale docente, educativo ed ATA per l’</w:t>
      </w:r>
      <w:proofErr w:type="spellStart"/>
      <w:r>
        <w:rPr>
          <w:rFonts w:ascii="Arial Narrow" w:hAnsi="Arial Narrow"/>
        </w:rPr>
        <w:t>a.s.</w:t>
      </w:r>
      <w:proofErr w:type="spellEnd"/>
      <w:r>
        <w:rPr>
          <w:rFonts w:ascii="Arial Narrow" w:hAnsi="Arial Narrow"/>
        </w:rPr>
        <w:t xml:space="preserve"> 20</w:t>
      </w:r>
      <w:r w:rsidR="009F2E86">
        <w:rPr>
          <w:rFonts w:ascii="Arial Narrow" w:hAnsi="Arial Narrow"/>
        </w:rPr>
        <w:t>2</w:t>
      </w:r>
      <w:r w:rsidR="00ED7B0C">
        <w:rPr>
          <w:rFonts w:ascii="Arial Narrow" w:hAnsi="Arial Narrow"/>
        </w:rPr>
        <w:t>3</w:t>
      </w:r>
      <w:r w:rsidR="000A3CD9">
        <w:rPr>
          <w:rFonts w:ascii="Arial Narrow" w:hAnsi="Arial Narrow"/>
        </w:rPr>
        <w:t>/2</w:t>
      </w:r>
      <w:r w:rsidR="00ED7B0C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(esclusione dalla graduatoria di istituto per i perdenti posto)</w:t>
      </w:r>
    </w:p>
    <w:p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</w:t>
      </w:r>
      <w:bookmarkStart w:id="0" w:name="_GoBack"/>
      <w:bookmarkEnd w:id="0"/>
      <w:r w:rsidRPr="00913CAD">
        <w:rPr>
          <w:rFonts w:ascii="Arial Narrow" w:hAnsi="Arial Narrow"/>
        </w:rPr>
        <w:t xml:space="preserve"> comprende il personale che si trova in una delle seguenti condizioni:</w:t>
      </w:r>
    </w:p>
    <w:p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Disabili di cui all’art. 21 della legge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Personale appartenente alle categorie previste dal comma 6, dell’art. 33 della legge n. 104/92, richiamato dall’art. 601 del </w:t>
      </w:r>
      <w:proofErr w:type="spellStart"/>
      <w:r w:rsidRPr="00913CAD">
        <w:rPr>
          <w:rFonts w:ascii="Arial Narrow" w:hAnsi="Arial Narrow"/>
        </w:rPr>
        <w:t>D.Lgs.</w:t>
      </w:r>
      <w:proofErr w:type="spellEnd"/>
      <w:r w:rsidRPr="00913CAD">
        <w:rPr>
          <w:rFonts w:ascii="Arial Narrow" w:hAnsi="Arial Narrow"/>
        </w:rPr>
        <w:t xml:space="preserve"> n. 297/94;</w:t>
      </w:r>
    </w:p>
    <w:p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DISABILITA’; ASSISTENZA DA PARTE DEL FIGLIO REFERENTE UNICO AL GENITORE CON DISABILITA’; ASSISTENZA DA PARTE DI CHI ESERCITA LA TUTELA LEGALE</w:t>
      </w:r>
    </w:p>
    <w:p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 usufruire di questa precedenza, il familiare disabile al quale il docente presta assistenza, deve avere la certificazione con connotazione dei gravità, cioè l’art.3, comma 3 della legge 104/92.</w:t>
      </w:r>
    </w:p>
    <w:p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</w:p>
    <w:sectPr w:rsidR="00F9203C" w:rsidRPr="00913CAD" w:rsidSect="008D1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42C3"/>
    <w:rsid w:val="00022C93"/>
    <w:rsid w:val="00097CD3"/>
    <w:rsid w:val="000A3CD9"/>
    <w:rsid w:val="000A5931"/>
    <w:rsid w:val="002D7DE2"/>
    <w:rsid w:val="00445D01"/>
    <w:rsid w:val="00446DD8"/>
    <w:rsid w:val="004D31BB"/>
    <w:rsid w:val="006249F8"/>
    <w:rsid w:val="00644F9A"/>
    <w:rsid w:val="007C1487"/>
    <w:rsid w:val="008D1DDD"/>
    <w:rsid w:val="00913CAD"/>
    <w:rsid w:val="009F2E86"/>
    <w:rsid w:val="00ED7B0C"/>
    <w:rsid w:val="00EE42C3"/>
    <w:rsid w:val="00F9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icsro</cp:lastModifiedBy>
  <cp:revision>14</cp:revision>
  <cp:lastPrinted>2019-03-12T08:04:00Z</cp:lastPrinted>
  <dcterms:created xsi:type="dcterms:W3CDTF">2017-04-04T06:04:00Z</dcterms:created>
  <dcterms:modified xsi:type="dcterms:W3CDTF">2023-02-08T12:39:00Z</dcterms:modified>
</cp:coreProperties>
</file>