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BA" w:rsidRDefault="009869BA" w:rsidP="0036707F">
      <w:pPr>
        <w:pStyle w:val="Titolo3"/>
        <w:spacing w:before="59" w:line="254" w:lineRule="auto"/>
        <w:ind w:left="960" w:right="344"/>
        <w:jc w:val="both"/>
        <w:rPr>
          <w:w w:val="95"/>
        </w:rPr>
      </w:pPr>
    </w:p>
    <w:p w:rsidR="00910617" w:rsidRPr="003E72FC" w:rsidRDefault="00910617" w:rsidP="003E72FC">
      <w:pPr>
        <w:widowControl/>
        <w:overflowPunct w:val="0"/>
        <w:adjustRightInd w:val="0"/>
        <w:spacing w:line="360" w:lineRule="auto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 xml:space="preserve">PATTO </w:t>
      </w:r>
      <w:proofErr w:type="spellStart"/>
      <w:r w:rsidRPr="003E72FC">
        <w:rPr>
          <w:rFonts w:asciiTheme="minorHAnsi" w:hAnsiTheme="minorHAnsi" w:cstheme="minorHAnsi"/>
          <w:b/>
          <w:bCs/>
        </w:rPr>
        <w:t>DI</w:t>
      </w:r>
      <w:proofErr w:type="spellEnd"/>
      <w:r w:rsidRPr="003E72FC">
        <w:rPr>
          <w:rFonts w:asciiTheme="minorHAnsi" w:hAnsiTheme="minorHAnsi" w:cstheme="minorHAnsi"/>
          <w:b/>
          <w:bCs/>
        </w:rPr>
        <w:t xml:space="preserve"> INTEGRITA’ IN MATERIA DI CONTRATTI PUBBLICI</w:t>
      </w:r>
    </w:p>
    <w:p w:rsidR="00910617" w:rsidRDefault="00910617" w:rsidP="003E72FC">
      <w:pPr>
        <w:widowControl/>
        <w:overflowPunct w:val="0"/>
        <w:adjustRightInd w:val="0"/>
        <w:spacing w:line="360" w:lineRule="auto"/>
        <w:ind w:right="567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 OPERATORE ECONOMICO ___________________________________________________ sede legale in ______________________________,</w:t>
      </w:r>
      <w:r w:rsidR="003E72FC"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Via ____________________________________________________ n. ________ codice fiscale/P.IVA ____________________________________,</w:t>
      </w:r>
      <w:r w:rsidR="003E72FC"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rappresentata da</w:t>
      </w:r>
      <w:r w:rsidR="003E72FC">
        <w:rPr>
          <w:rFonts w:asciiTheme="minorHAnsi" w:hAnsiTheme="minorHAnsi" w:cstheme="minorHAnsi"/>
        </w:rPr>
        <w:t xml:space="preserve"> ___________</w:t>
      </w:r>
      <w:r w:rsidRPr="00910617">
        <w:rPr>
          <w:rFonts w:asciiTheme="minorHAnsi" w:hAnsiTheme="minorHAnsi" w:cstheme="minorHAnsi"/>
        </w:rPr>
        <w:t xml:space="preserve"> </w:t>
      </w:r>
      <w:r w:rsidR="003E72FC">
        <w:rPr>
          <w:rFonts w:asciiTheme="minorHAnsi" w:hAnsiTheme="minorHAnsi" w:cstheme="minorHAnsi"/>
        </w:rPr>
        <w:t>_____</w:t>
      </w:r>
      <w:r w:rsidRPr="00910617">
        <w:rPr>
          <w:rFonts w:asciiTheme="minorHAnsi" w:hAnsiTheme="minorHAnsi" w:cstheme="minorHAnsi"/>
        </w:rPr>
        <w:t>________________________________________ in qualità di (Titolare /Legale rappresentante)</w:t>
      </w:r>
      <w:r w:rsidR="003E72FC">
        <w:rPr>
          <w:rFonts w:asciiTheme="minorHAnsi" w:hAnsiTheme="minorHAnsi" w:cstheme="minorHAnsi"/>
        </w:rPr>
        <w:t xml:space="preserve"> ____</w:t>
      </w:r>
    </w:p>
    <w:p w:rsidR="003E72FC" w:rsidRPr="00910617" w:rsidRDefault="003E72FC" w:rsidP="003E72FC">
      <w:pPr>
        <w:widowControl/>
        <w:overflowPunct w:val="0"/>
        <w:adjustRightInd w:val="0"/>
        <w:spacing w:line="360" w:lineRule="auto"/>
        <w:ind w:right="567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</w:t>
      </w:r>
    </w:p>
    <w:p w:rsidR="00910617" w:rsidRPr="003E72FC" w:rsidRDefault="00910617" w:rsidP="003E72FC">
      <w:pPr>
        <w:widowControl/>
        <w:overflowPunct w:val="0"/>
        <w:adjustRightInd w:val="0"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CON RIFERIMENTO ALLA PROCEDURA DI AFFIDAMENTO DEL CONTRATTO DI</w:t>
      </w:r>
    </w:p>
    <w:p w:rsidR="00910617" w:rsidRDefault="00910617" w:rsidP="003E72FC">
      <w:pPr>
        <w:widowControl/>
        <w:overflowPunct w:val="0"/>
        <w:adjustRightInd w:val="0"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3E72FC" w:rsidRPr="003E72FC" w:rsidRDefault="003E72FC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10617" w:rsidRPr="003E72FC" w:rsidRDefault="00910617" w:rsidP="001D464D">
      <w:pPr>
        <w:widowControl/>
        <w:overflowPunct w:val="0"/>
        <w:adjustRightInd w:val="0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 xml:space="preserve">DICHIARA DI ACCETTARE IL SEGUENTE PATTO DI INTEGRITA’ APPROVATO </w:t>
      </w:r>
      <w:r w:rsidR="003E72FC" w:rsidRPr="003E72FC">
        <w:rPr>
          <w:rFonts w:asciiTheme="minorHAnsi" w:hAnsiTheme="minorHAnsi" w:cstheme="minorHAnsi"/>
          <w:b/>
          <w:bCs/>
        </w:rPr>
        <w:t xml:space="preserve">IC di MONTEFIORINO </w:t>
      </w:r>
      <w:r w:rsidRPr="003E72FC">
        <w:rPr>
          <w:rFonts w:asciiTheme="minorHAnsi" w:hAnsiTheme="minorHAnsi" w:cstheme="minorHAnsi"/>
          <w:b/>
          <w:bCs/>
        </w:rPr>
        <w:t>(MO)</w:t>
      </w:r>
    </w:p>
    <w:p w:rsidR="00910617" w:rsidRPr="003E72FC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Art. 1. Finalità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Il presente Patto d’integrità stabilisce la reciproca e formale obbligazione, tra l’Amministrazione aggiudicatrice e gli operatori economici, di improntare 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propri comportamenti ai principi di lealtà, trasparenza e correttezza.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Per i consorzi ordinari o raggruppamenti temporanei l’obbligo riguarda tutti i consorziati o partecipanti al raggruppamento o consorzio.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Il Patto di integrità costituirà parte integrante di qualsiasi contratto assegnato dalla Amministrazione aggiudicatrice a seguito della procedura di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affidamento.</w:t>
      </w:r>
    </w:p>
    <w:p w:rsidR="00910617" w:rsidRPr="003E72FC" w:rsidRDefault="00910617" w:rsidP="001D464D">
      <w:pPr>
        <w:widowControl/>
        <w:overflowPunct w:val="0"/>
        <w:adjustRightInd w:val="0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Art. 2. Obblighi dell’operatore economico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L’operatore economico, per partecipare alla procedura:</w:t>
      </w:r>
    </w:p>
    <w:p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 xml:space="preserve"> dichiara di non avere influenzato il procedimento amministrativo diretto a stabilire il contenuto del bando, o di altro atto equipollente, al fine di condizionare le modalità di scelta del contraente da parte dell’Amministrazione aggiudicatrice e di non aver corrisposto né promesso di corrispondere ad alcuno – e s’impegna a non corrispondere né promettere di corrispondere ad alcuno – direttamente o tramite terzi, ivi compresi i soggetti collegati o controllati, somme di denaro, regali o altra utilità finalizzate a facilitare l’aggiudicazione e/o gestione del contratto;</w:t>
      </w:r>
    </w:p>
    <w:p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si obbliga a non ricorrere ad alcuna mediazione o altra opera di terzi finalizzata all’aggiudicazione e/o gestione del contratto;</w:t>
      </w:r>
    </w:p>
    <w:p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 xml:space="preserve"> assicura di non trovarsi in situazioni di controllo o di collegamento (formale e/o sostanziale) con altri concorrenti e che non si è accordato e non si accorderà con altri partecipanti alla procedura, e assicura, con riferimento alla specifica procedura di affidamento, di non avere in corso né di avere praticato intese e/o pratiche restrittive della concorrenza e del mercato vietate ai sensi della vigente normativa;</w:t>
      </w:r>
    </w:p>
    <w:p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si impegna a segnalare al Responsabile della Prevenzione della Corruzione dell’Amministrazione aggiudicatrice, qualsiasi tentativo di turbativa, irregolarità o distorsione nelle fasi di svolgimento della procedura o durante l’esecuzione del contratto, da parte di ogni interessato o addetto o di chiunque possa influenzare le decisioni relative alla procedura, comprese illecite richieste o pretese dei dipendenti dell’Amministrazione stessa;</w:t>
      </w:r>
    </w:p>
    <w:p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 xml:space="preserve"> si obbliga ad informare puntualmente tutto il personale, di cui si avvale, del presente Patto di integrità e degli obblighi in esso contenuti e a vigilare affinché gli impegni sopra indicati siano osservati da tutti i collaboratori e dipendenti nell’esercizio dei compiti loro assegnati;</w:t>
      </w:r>
    </w:p>
    <w:p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assicura di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</w:t>
      </w:r>
    </w:p>
    <w:p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lastRenderedPageBreak/>
        <w:t>si obbliga ad acquisire con le stesse modalità e gli stessi adempimenti previsti dalla normativa vigente in materia di subappalto, preventiva autorizzazione da parte dell’Amministrazione aggiudicatrice.</w:t>
      </w:r>
    </w:p>
    <w:p w:rsid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 xml:space="preserve"> si obbliga altresì a inserire identiche clausole di integrità e </w:t>
      </w:r>
      <w:r w:rsidR="004A4F40" w:rsidRPr="00910617">
        <w:rPr>
          <w:rFonts w:asciiTheme="minorHAnsi" w:hAnsiTheme="minorHAnsi" w:cstheme="minorHAnsi"/>
        </w:rPr>
        <w:t>anticorruzione</w:t>
      </w:r>
      <w:r w:rsidRPr="00910617">
        <w:rPr>
          <w:rFonts w:asciiTheme="minorHAnsi" w:hAnsiTheme="minorHAnsi" w:cstheme="minorHAnsi"/>
        </w:rPr>
        <w:t xml:space="preserve"> nei contratti di subappalto di cui al precedente paragrafo, ed è consapevole che, in caso contrario, le eventuali autorizzazioni non saranno concesse.</w:t>
      </w:r>
    </w:p>
    <w:p w:rsidR="00910617" w:rsidRDefault="00910617" w:rsidP="00910617">
      <w:pPr>
        <w:pStyle w:val="Paragrafoelenco"/>
        <w:widowControl/>
        <w:overflowPunct w:val="0"/>
        <w:adjustRightInd w:val="0"/>
        <w:ind w:left="426" w:right="567" w:firstLine="0"/>
        <w:jc w:val="both"/>
        <w:textAlignment w:val="baseline"/>
        <w:rPr>
          <w:rFonts w:asciiTheme="minorHAnsi" w:hAnsiTheme="minorHAnsi" w:cstheme="minorHAnsi"/>
        </w:rPr>
      </w:pPr>
    </w:p>
    <w:p w:rsidR="00910617" w:rsidRPr="003E72FC" w:rsidRDefault="00910617" w:rsidP="001D464D">
      <w:pPr>
        <w:widowControl/>
        <w:overflowPunct w:val="0"/>
        <w:adjustRightInd w:val="0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Art. 3. Obblighi dell’Amministrazione aggiudicatrice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L’Amministrazione aggiudicatrice si obbliga a rispettare i principi di lealtà, trasparenza e correttezza e ad attivare i procedimenti disciplinari nei confronti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del personale a vario titolo intervenuto nel procedimento di affidamento e nell’esecuzione del contratto in caso di violazione di detti principi e, in particolare,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qualora riscontri la violazione dei contenuti dell’art. 4 “Regali, compensi e altre utilità”, dell’art. 6 “Comunicazione degli interessi finanziari e conflitti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d’interesse”, dell’art. 7 “Obbligo di astensione”, dell’art. 8 “Prevenzione della Corruzione”, dell’art. 13 “Disposizioni particolari per i dirigenti” e dell’art. 14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“Contratti e altri atti negoziali” del D.P.R.16.04.2013, n.62, Regolamento recante codice di comportamento dei dipendenti pubblici.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In particolare, l’Amministrazione aggiudicatrice assume l’espresso impegno anticorruzione di non offrire, accettare o richiedere somme di denaro o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qualsiasi altra ricompensa, vantaggio o beneficio, sia direttamente che indirettamente tramite intermediari, al fine dell'assegnazione del contratto e/o al fine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di distorcerne la relativa corretta esecuzione.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 Amministrazione aggiudicatrice è obbligata a rendere pubblici i dati più rilevanti riguardanti l’aggiudicazione, in base alla normativa in materia di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trasparenza.</w:t>
      </w:r>
    </w:p>
    <w:p w:rsidR="00910617" w:rsidRPr="003E72FC" w:rsidRDefault="00910617" w:rsidP="001D464D">
      <w:pPr>
        <w:widowControl/>
        <w:overflowPunct w:val="0"/>
        <w:adjustRightInd w:val="0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Art. 4. Violazione del Patto di integrità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La violazione del Patto di integrità è dichiarata in esito ad un procedimento di verifica in cui venga garantito adeguato contraddittorio con l’operatore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economico interessato.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La violazione da parte dell’operatore economico, sia in veste di concorrente che di aggiudicatario, di uno degli impegni previsti suo carico dall’articolo 2,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può comportare, secondo la gravità della violazione accertata e la fase in cui la violazione è accertata:</w:t>
      </w:r>
    </w:p>
    <w:p w:rsidR="00910617" w:rsidRPr="00910617" w:rsidRDefault="00910617" w:rsidP="00910617">
      <w:pPr>
        <w:pStyle w:val="Paragrafoelenco"/>
        <w:widowControl/>
        <w:numPr>
          <w:ilvl w:val="0"/>
          <w:numId w:val="11"/>
        </w:numPr>
        <w:overflowPunct w:val="0"/>
        <w:adjustRightInd w:val="0"/>
        <w:ind w:left="284" w:right="567" w:hanging="142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l’esclusione dalla procedura di affidamento;</w:t>
      </w:r>
    </w:p>
    <w:p w:rsidR="00910617" w:rsidRPr="00910617" w:rsidRDefault="00910617" w:rsidP="00910617">
      <w:pPr>
        <w:pStyle w:val="Paragrafoelenco"/>
        <w:widowControl/>
        <w:numPr>
          <w:ilvl w:val="0"/>
          <w:numId w:val="11"/>
        </w:numPr>
        <w:overflowPunct w:val="0"/>
        <w:adjustRightInd w:val="0"/>
        <w:ind w:left="284" w:right="567" w:hanging="142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la risoluzione di diritto dal contratto.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L’Amministrazione aggiudicatrice può non avvalersi della risoluzione del contratto qualora la ritenga pregiudizievole agli interessi pubblici, quali indicati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dall’art.121, comma 2, d.lgs.104/2010; è fatto salvo in ogni caso l’eventuale diritto al risarcimento del danno;</w:t>
      </w:r>
    </w:p>
    <w:p w:rsidR="00910617" w:rsidRPr="003E72FC" w:rsidRDefault="00910617" w:rsidP="001D464D">
      <w:pPr>
        <w:widowControl/>
        <w:overflowPunct w:val="0"/>
        <w:adjustRightInd w:val="0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Art. 5. Efficacia del patto di integrità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Il Patto di Integrità e le sanzioni applicabili resteranno in vigore sino alla completa esecuzione del contratto assegnato a seguito della procedura di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affidamento.</w:t>
      </w:r>
    </w:p>
    <w:p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Il contenuto del presente documento può essere integrato dagli eventuali Protocolli di legalità sottoscritti dall’I.</w:t>
      </w:r>
      <w:r w:rsidR="003E72FC">
        <w:rPr>
          <w:rFonts w:asciiTheme="minorHAnsi" w:hAnsiTheme="minorHAnsi" w:cstheme="minorHAnsi"/>
        </w:rPr>
        <w:t>C di MONTEFIORINO</w:t>
      </w:r>
      <w:r w:rsidRPr="00910617">
        <w:rPr>
          <w:rFonts w:asciiTheme="minorHAnsi" w:hAnsiTheme="minorHAnsi" w:cstheme="minorHAnsi"/>
        </w:rPr>
        <w:t>”</w:t>
      </w:r>
    </w:p>
    <w:p w:rsidR="003E72FC" w:rsidRDefault="003E72FC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</w:p>
    <w:p w:rsidR="003E72FC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 xml:space="preserve">Data _______________ </w:t>
      </w:r>
    </w:p>
    <w:p w:rsidR="003E72FC" w:rsidRDefault="003E72FC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</w:p>
    <w:p w:rsidR="003E72FC" w:rsidRDefault="003E72FC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</w:p>
    <w:p w:rsidR="00910617" w:rsidRDefault="00910617" w:rsidP="003E72FC">
      <w:pPr>
        <w:widowControl/>
        <w:overflowPunct w:val="0"/>
        <w:adjustRightInd w:val="0"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TIMBRO E FIRMA DEL TITOLARE/RAPPRESENTANTE LEGALE DELL’OPERATORE ECONOMICO</w:t>
      </w:r>
    </w:p>
    <w:p w:rsidR="003E72FC" w:rsidRPr="002E7631" w:rsidRDefault="003E72FC" w:rsidP="003E72FC">
      <w:pPr>
        <w:widowControl/>
        <w:overflowPunct w:val="0"/>
        <w:adjustRightInd w:val="0"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sectPr w:rsidR="003E72FC" w:rsidRPr="002E7631" w:rsidSect="006F0043">
      <w:headerReference w:type="default" r:id="rId8"/>
      <w:footerReference w:type="default" r:id="rId9"/>
      <w:pgSz w:w="11906" w:h="16838"/>
      <w:pgMar w:top="1417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EA" w:rsidRDefault="00652DEA" w:rsidP="00DE2FA6">
      <w:r>
        <w:separator/>
      </w:r>
    </w:p>
  </w:endnote>
  <w:endnote w:type="continuationSeparator" w:id="0">
    <w:p w:rsidR="00652DEA" w:rsidRDefault="00652DEA" w:rsidP="00DE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nux Biolinum O">
    <w:altName w:val="Calibri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26" w:rsidRPr="00182966" w:rsidRDefault="00E60026" w:rsidP="00E60026">
    <w:pPr>
      <w:pStyle w:val="Intestazione"/>
      <w:keepNext/>
      <w:keepLines/>
      <w:rPr>
        <w:rFonts w:asciiTheme="minorHAnsi" w:hAnsiTheme="minorHAnsi"/>
        <w:b/>
        <w:color w:val="323E4F" w:themeColor="text2" w:themeShade="BF"/>
        <w:sz w:val="20"/>
        <w:szCs w:val="20"/>
      </w:rPr>
    </w:pPr>
    <w:r w:rsidRPr="00182966">
      <w:rPr>
        <w:rFonts w:asciiTheme="minorHAnsi" w:hAnsiTheme="minorHAnsi"/>
        <w:b/>
        <w:color w:val="323E4F" w:themeColor="text2" w:themeShade="BF"/>
        <w:sz w:val="20"/>
        <w:szCs w:val="20"/>
      </w:rPr>
      <w:t xml:space="preserve">Via Rocca, 3 – 41045 Montefiorino MO – Tel.  0536.965169  - </w:t>
    </w:r>
  </w:p>
  <w:p w:rsidR="00E60026" w:rsidRPr="00B81C9C" w:rsidRDefault="00E60026" w:rsidP="00E60026">
    <w:pPr>
      <w:pStyle w:val="Intestazione"/>
      <w:keepNext/>
      <w:keepLines/>
      <w:rPr>
        <w:rFonts w:ascii="Verdana" w:hAnsi="Verdana"/>
        <w:b/>
        <w:sz w:val="17"/>
        <w:szCs w:val="17"/>
      </w:rPr>
    </w:pPr>
    <w:r>
      <w:rPr>
        <w:rFonts w:ascii="Verdana" w:hAnsi="Verdana"/>
        <w:b/>
        <w:sz w:val="17"/>
        <w:szCs w:val="17"/>
      </w:rPr>
      <w:t xml:space="preserve">e-mail  </w:t>
    </w:r>
    <w:hyperlink r:id="rId1" w:history="1">
      <w:r w:rsidRPr="00723739">
        <w:rPr>
          <w:rStyle w:val="Collegamentoipertestuale"/>
          <w:rFonts w:ascii="Verdana" w:hAnsi="Verdana"/>
          <w:b/>
          <w:sz w:val="17"/>
          <w:szCs w:val="17"/>
        </w:rPr>
        <w:t>mois811003@istruzione.it</w:t>
      </w:r>
    </w:hyperlink>
    <w:r w:rsidRPr="00B81C9C">
      <w:rPr>
        <w:rFonts w:ascii="Verdana" w:hAnsi="Verdana"/>
        <w:b/>
        <w:sz w:val="17"/>
        <w:szCs w:val="17"/>
      </w:rPr>
      <w:t xml:space="preserve"> </w:t>
    </w:r>
    <w:r>
      <w:rPr>
        <w:rFonts w:ascii="Verdana" w:hAnsi="Verdana"/>
        <w:b/>
        <w:sz w:val="17"/>
        <w:szCs w:val="17"/>
      </w:rPr>
      <w:t xml:space="preserve">  - </w:t>
    </w:r>
    <w:hyperlink r:id="rId2" w:history="1">
      <w:r w:rsidRPr="00723739">
        <w:rPr>
          <w:rStyle w:val="Collegamentoipertestuale"/>
          <w:rFonts w:ascii="Verdana" w:hAnsi="Verdana"/>
          <w:b/>
          <w:sz w:val="17"/>
          <w:szCs w:val="17"/>
        </w:rPr>
        <w:t>moic811003@pec.istruzione.it</w:t>
      </w:r>
    </w:hyperlink>
  </w:p>
  <w:p w:rsidR="00E60026" w:rsidRDefault="00E600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EA" w:rsidRDefault="00652DEA" w:rsidP="00DE2FA6">
      <w:r>
        <w:separator/>
      </w:r>
    </w:p>
  </w:footnote>
  <w:footnote w:type="continuationSeparator" w:id="0">
    <w:p w:rsidR="00652DEA" w:rsidRDefault="00652DEA" w:rsidP="00DE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insideH w:val="none" w:sz="0" w:space="0" w:color="auto"/>
        <w:insideV w:val="none" w:sz="0" w:space="0" w:color="auto"/>
      </w:tblBorders>
      <w:tblLook w:val="04A0"/>
    </w:tblPr>
    <w:tblGrid>
      <w:gridCol w:w="1384"/>
      <w:gridCol w:w="5299"/>
      <w:gridCol w:w="3582"/>
    </w:tblGrid>
    <w:tr w:rsidR="00E60026" w:rsidRPr="00B81C9C" w:rsidTr="00182966">
      <w:trPr>
        <w:jc w:val="center"/>
      </w:trPr>
      <w:tc>
        <w:tcPr>
          <w:tcW w:w="1384" w:type="dxa"/>
        </w:tcPr>
        <w:p w:rsidR="00E60026" w:rsidRDefault="00E60026" w:rsidP="00182966">
          <w:pPr>
            <w:pStyle w:val="Intestazione"/>
            <w:keepNext/>
            <w:keepLines/>
            <w:jc w:val="center"/>
          </w:pPr>
          <w:r w:rsidRPr="00B81C9C">
            <w:rPr>
              <w:noProof/>
              <w:lang w:eastAsia="it-IT"/>
            </w:rPr>
            <w:drawing>
              <wp:inline distT="0" distB="0" distL="0" distR="0">
                <wp:extent cx="352557" cy="390525"/>
                <wp:effectExtent l="19050" t="0" r="9393" b="0"/>
                <wp:docPr id="1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557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60026" w:rsidRDefault="00E60026" w:rsidP="008B1882">
          <w:pPr>
            <w:pStyle w:val="Intestazione"/>
            <w:keepNext/>
            <w:keepLines/>
          </w:pPr>
          <w:r w:rsidRPr="00B81C9C">
            <w:rPr>
              <w:noProof/>
              <w:lang w:eastAsia="it-IT"/>
            </w:rPr>
            <w:drawing>
              <wp:inline distT="0" distB="0" distL="0" distR="0">
                <wp:extent cx="695325" cy="523875"/>
                <wp:effectExtent l="19050" t="0" r="9525" b="0"/>
                <wp:docPr id="1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</w:tcPr>
        <w:p w:rsidR="00182966" w:rsidRDefault="00182966" w:rsidP="00182966">
          <w:pPr>
            <w:pStyle w:val="Intestazione"/>
            <w:keepNext/>
            <w:keepLines/>
            <w:tabs>
              <w:tab w:val="clear" w:pos="4819"/>
              <w:tab w:val="center" w:pos="5191"/>
            </w:tabs>
            <w:ind w:right="-409"/>
            <w:rPr>
              <w:b/>
              <w:color w:val="8496B0" w:themeColor="text2" w:themeTint="99"/>
            </w:rPr>
          </w:pPr>
        </w:p>
        <w:p w:rsidR="00E60026" w:rsidRPr="00182966" w:rsidRDefault="00E60026" w:rsidP="00182966">
          <w:pPr>
            <w:pStyle w:val="Intestazione"/>
            <w:keepNext/>
            <w:keepLines/>
            <w:jc w:val="center"/>
            <w:rPr>
              <w:rFonts w:asciiTheme="minorHAnsi" w:hAnsiTheme="minorHAnsi"/>
              <w:b/>
              <w:color w:val="44546A" w:themeColor="text2"/>
            </w:rPr>
          </w:pPr>
          <w:r w:rsidRPr="00182966">
            <w:rPr>
              <w:rFonts w:asciiTheme="minorHAnsi" w:hAnsiTheme="minorHAnsi"/>
              <w:b/>
              <w:color w:val="44546A" w:themeColor="text2"/>
            </w:rPr>
            <w:t>MIUR-   USR –Emilia Romagna</w:t>
          </w:r>
        </w:p>
        <w:p w:rsidR="00E60026" w:rsidRPr="00182966" w:rsidRDefault="00E60026" w:rsidP="00182966">
          <w:pPr>
            <w:pStyle w:val="Intestazione"/>
            <w:keepNext/>
            <w:keepLines/>
            <w:jc w:val="center"/>
            <w:rPr>
              <w:rFonts w:asciiTheme="minorHAnsi" w:hAnsiTheme="minorHAnsi"/>
              <w:b/>
              <w:i/>
              <w:color w:val="44546A" w:themeColor="text2"/>
              <w:sz w:val="28"/>
              <w:szCs w:val="28"/>
            </w:rPr>
          </w:pPr>
          <w:r w:rsidRPr="00182966">
            <w:rPr>
              <w:rFonts w:asciiTheme="minorHAnsi" w:hAnsiTheme="minorHAnsi"/>
              <w:b/>
              <w:i/>
              <w:color w:val="44546A" w:themeColor="text2"/>
              <w:sz w:val="28"/>
              <w:szCs w:val="28"/>
            </w:rPr>
            <w:t>Istituto Comprensivo di Montefiorino</w:t>
          </w:r>
        </w:p>
        <w:p w:rsidR="00E60026" w:rsidRPr="00182966" w:rsidRDefault="00E60026" w:rsidP="00182966">
          <w:pPr>
            <w:pStyle w:val="Intestazione"/>
            <w:keepNext/>
            <w:keepLines/>
            <w:rPr>
              <w:rFonts w:asciiTheme="minorHAnsi" w:hAnsiTheme="minorHAnsi"/>
              <w:b/>
              <w:color w:val="44546A" w:themeColor="text2"/>
              <w:lang w:val="en-US"/>
            </w:rPr>
          </w:pPr>
          <w:r w:rsidRPr="00182966">
            <w:rPr>
              <w:rFonts w:asciiTheme="minorHAnsi" w:hAnsiTheme="minorHAnsi"/>
              <w:b/>
              <w:color w:val="44546A" w:themeColor="text2"/>
              <w:lang w:val="en-US"/>
            </w:rPr>
            <w:t>MOIC811003- 93022290360</w:t>
          </w:r>
          <w:r w:rsidR="00182966">
            <w:rPr>
              <w:rFonts w:asciiTheme="minorHAnsi" w:hAnsiTheme="minorHAnsi"/>
              <w:b/>
              <w:color w:val="44546A" w:themeColor="text2"/>
              <w:lang w:val="en-US"/>
            </w:rPr>
            <w:t xml:space="preserve"> </w:t>
          </w:r>
          <w:hyperlink r:id="rId3" w:history="1">
            <w:r w:rsidRPr="00182966">
              <w:rPr>
                <w:rFonts w:asciiTheme="minorHAnsi" w:hAnsiTheme="minorHAnsi" w:cs="Verdana"/>
                <w:b/>
                <w:color w:val="44546A" w:themeColor="text2"/>
                <w:lang w:val="en-US"/>
              </w:rPr>
              <w:t>www.ic</w:t>
            </w:r>
          </w:hyperlink>
          <w:r w:rsidRPr="00182966">
            <w:rPr>
              <w:rFonts w:asciiTheme="minorHAnsi" w:hAnsiTheme="minorHAnsi" w:cs="Verdana"/>
              <w:b/>
              <w:color w:val="44546A" w:themeColor="text2"/>
              <w:lang w:val="en-US"/>
            </w:rPr>
            <w:t>montefiorino.edu.it</w:t>
          </w:r>
        </w:p>
      </w:tc>
      <w:tc>
        <w:tcPr>
          <w:tcW w:w="3582" w:type="dxa"/>
        </w:tcPr>
        <w:p w:rsidR="00182966" w:rsidRDefault="00182966" w:rsidP="00182966">
          <w:pPr>
            <w:pStyle w:val="Intestazione"/>
            <w:keepNext/>
            <w:keepLines/>
            <w:tabs>
              <w:tab w:val="center" w:pos="1683"/>
            </w:tabs>
            <w:rPr>
              <w:rFonts w:ascii="Tahoma" w:hAnsi="Tahoma" w:cs="Tahoma"/>
              <w:b/>
              <w:noProof/>
              <w:lang w:eastAsia="it-IT"/>
            </w:rPr>
          </w:pPr>
        </w:p>
        <w:p w:rsidR="00E60026" w:rsidRDefault="00E60026" w:rsidP="00182966">
          <w:pPr>
            <w:pStyle w:val="Intestazione"/>
            <w:keepNext/>
            <w:keepLines/>
            <w:tabs>
              <w:tab w:val="center" w:pos="1683"/>
            </w:tabs>
            <w:jc w:val="center"/>
            <w:rPr>
              <w:rFonts w:ascii="Tahoma" w:hAnsi="Tahoma" w:cs="Tahoma"/>
              <w:b/>
              <w:noProof/>
              <w:lang w:eastAsia="it-IT"/>
            </w:rPr>
          </w:pPr>
          <w:r w:rsidRPr="00B81C9C">
            <w:rPr>
              <w:rFonts w:ascii="Tahoma" w:hAnsi="Tahoma" w:cs="Tahoma"/>
              <w:b/>
              <w:noProof/>
              <w:lang w:eastAsia="it-IT"/>
            </w:rPr>
            <w:drawing>
              <wp:inline distT="0" distB="0" distL="0" distR="0">
                <wp:extent cx="1962150" cy="609600"/>
                <wp:effectExtent l="19050" t="0" r="0" b="0"/>
                <wp:docPr id="1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617" w:rsidRDefault="00910617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643"/>
    <w:multiLevelType w:val="hybridMultilevel"/>
    <w:tmpl w:val="46081998"/>
    <w:lvl w:ilvl="0" w:tplc="3A727E48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92CCAB8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2" w:tplc="9E08139C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3" w:tplc="9EF4A1D8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4" w:tplc="7F0085C6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86C47254">
      <w:numFmt w:val="bullet"/>
      <w:lvlText w:val="•"/>
      <w:lvlJc w:val="left"/>
      <w:pPr>
        <w:ind w:left="5153" w:hanging="360"/>
      </w:pPr>
      <w:rPr>
        <w:rFonts w:hint="default"/>
        <w:lang w:val="it-IT" w:eastAsia="en-US" w:bidi="ar-SA"/>
      </w:rPr>
    </w:lvl>
    <w:lvl w:ilvl="6" w:tplc="63AADD38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7" w:tplc="4740C008">
      <w:numFmt w:val="bullet"/>
      <w:lvlText w:val="•"/>
      <w:lvlJc w:val="left"/>
      <w:pPr>
        <w:ind w:left="7310" w:hanging="360"/>
      </w:pPr>
      <w:rPr>
        <w:rFonts w:hint="default"/>
        <w:lang w:val="it-IT" w:eastAsia="en-US" w:bidi="ar-SA"/>
      </w:rPr>
    </w:lvl>
    <w:lvl w:ilvl="8" w:tplc="6C8A6DFA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1">
    <w:nsid w:val="0D551A74"/>
    <w:multiLevelType w:val="hybridMultilevel"/>
    <w:tmpl w:val="23FE45E6"/>
    <w:lvl w:ilvl="0" w:tplc="04100001">
      <w:start w:val="1"/>
      <w:numFmt w:val="bullet"/>
      <w:lvlText w:val=""/>
      <w:lvlJc w:val="left"/>
      <w:pPr>
        <w:ind w:left="473" w:hanging="361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 w:tplc="F92CCAB8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2" w:tplc="9E08139C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3" w:tplc="9EF4A1D8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4" w:tplc="7F0085C6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86C47254">
      <w:numFmt w:val="bullet"/>
      <w:lvlText w:val="•"/>
      <w:lvlJc w:val="left"/>
      <w:pPr>
        <w:ind w:left="5153" w:hanging="360"/>
      </w:pPr>
      <w:rPr>
        <w:rFonts w:hint="default"/>
        <w:lang w:val="it-IT" w:eastAsia="en-US" w:bidi="ar-SA"/>
      </w:rPr>
    </w:lvl>
    <w:lvl w:ilvl="6" w:tplc="63AADD38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7" w:tplc="4740C008">
      <w:numFmt w:val="bullet"/>
      <w:lvlText w:val="•"/>
      <w:lvlJc w:val="left"/>
      <w:pPr>
        <w:ind w:left="7310" w:hanging="360"/>
      </w:pPr>
      <w:rPr>
        <w:rFonts w:hint="default"/>
        <w:lang w:val="it-IT" w:eastAsia="en-US" w:bidi="ar-SA"/>
      </w:rPr>
    </w:lvl>
    <w:lvl w:ilvl="8" w:tplc="6C8A6DFA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2">
    <w:nsid w:val="1088650C"/>
    <w:multiLevelType w:val="hybridMultilevel"/>
    <w:tmpl w:val="A0D6C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3B8"/>
    <w:multiLevelType w:val="hybridMultilevel"/>
    <w:tmpl w:val="CA2686C2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4D37E7E"/>
    <w:multiLevelType w:val="hybridMultilevel"/>
    <w:tmpl w:val="DAD47168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  <w:b/>
        <w:bCs/>
        <w:w w:val="99"/>
        <w:sz w:val="20"/>
        <w:szCs w:val="20"/>
        <w:lang w:val="it-IT" w:eastAsia="en-US" w:bidi="ar-SA"/>
      </w:rPr>
    </w:lvl>
    <w:lvl w:ilvl="1" w:tplc="427E6BF8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ABC67382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DA7EC814"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4" w:tplc="51CA4996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8D86EC6A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42727FF4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126E75CA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6C266E6E">
      <w:numFmt w:val="bullet"/>
      <w:lvlText w:val="•"/>
      <w:lvlJc w:val="left"/>
      <w:pPr>
        <w:ind w:left="8605" w:hanging="360"/>
      </w:pPr>
      <w:rPr>
        <w:rFonts w:hint="default"/>
        <w:lang w:val="it-IT" w:eastAsia="en-US" w:bidi="ar-SA"/>
      </w:rPr>
    </w:lvl>
  </w:abstractNum>
  <w:abstractNum w:abstractNumId="5">
    <w:nsid w:val="36447B45"/>
    <w:multiLevelType w:val="hybridMultilevel"/>
    <w:tmpl w:val="AA668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82277"/>
    <w:multiLevelType w:val="hybridMultilevel"/>
    <w:tmpl w:val="DF6E3B28"/>
    <w:lvl w:ilvl="0" w:tplc="FA90ECDC">
      <w:start w:val="1"/>
      <w:numFmt w:val="decimal"/>
      <w:lvlText w:val="%1."/>
      <w:lvlJc w:val="left"/>
      <w:pPr>
        <w:ind w:left="833" w:hanging="360"/>
      </w:pPr>
      <w:rPr>
        <w:rFonts w:ascii="Linux Biolinum O" w:eastAsia="Linux Biolinum O" w:hAnsi="Linux Biolinum O" w:cs="Linux Biolinum O" w:hint="default"/>
        <w:b/>
        <w:bCs/>
        <w:w w:val="99"/>
        <w:sz w:val="20"/>
        <w:szCs w:val="20"/>
        <w:lang w:val="it-IT" w:eastAsia="en-US" w:bidi="ar-SA"/>
      </w:rPr>
    </w:lvl>
    <w:lvl w:ilvl="1" w:tplc="427E6BF8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ABC67382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DA7EC814"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4" w:tplc="51CA4996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8D86EC6A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42727FF4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126E75CA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6C266E6E">
      <w:numFmt w:val="bullet"/>
      <w:lvlText w:val="•"/>
      <w:lvlJc w:val="left"/>
      <w:pPr>
        <w:ind w:left="8605" w:hanging="360"/>
      </w:pPr>
      <w:rPr>
        <w:rFonts w:hint="default"/>
        <w:lang w:val="it-IT" w:eastAsia="en-US" w:bidi="ar-SA"/>
      </w:rPr>
    </w:lvl>
  </w:abstractNum>
  <w:abstractNum w:abstractNumId="7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FF5248"/>
    <w:multiLevelType w:val="hybridMultilevel"/>
    <w:tmpl w:val="B1022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017BF"/>
    <w:multiLevelType w:val="hybridMultilevel"/>
    <w:tmpl w:val="499C3EB0"/>
    <w:lvl w:ilvl="0" w:tplc="434E6DE0">
      <w:numFmt w:val="bullet"/>
      <w:lvlText w:val="-"/>
      <w:lvlJc w:val="left"/>
      <w:pPr>
        <w:ind w:left="6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A4808E8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2" w:tplc="25B602E2">
      <w:numFmt w:val="bullet"/>
      <w:lvlText w:val="•"/>
      <w:lvlJc w:val="left"/>
      <w:pPr>
        <w:ind w:left="940" w:hanging="360"/>
      </w:pPr>
      <w:rPr>
        <w:rFonts w:hint="default"/>
        <w:lang w:val="it-IT" w:eastAsia="en-US" w:bidi="ar-SA"/>
      </w:rPr>
    </w:lvl>
    <w:lvl w:ilvl="3" w:tplc="F4643202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4" w:tplc="DDBC36AE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5" w:tplc="33F23834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6" w:tplc="AC1892BC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7" w:tplc="D2A6A582">
      <w:numFmt w:val="bullet"/>
      <w:lvlText w:val="•"/>
      <w:lvlJc w:val="left"/>
      <w:pPr>
        <w:ind w:left="6944" w:hanging="360"/>
      </w:pPr>
      <w:rPr>
        <w:rFonts w:hint="default"/>
        <w:lang w:val="it-IT" w:eastAsia="en-US" w:bidi="ar-SA"/>
      </w:rPr>
    </w:lvl>
    <w:lvl w:ilvl="8" w:tplc="DA741A8A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abstractNum w:abstractNumId="12">
    <w:nsid w:val="7BB40AD2"/>
    <w:multiLevelType w:val="hybridMultilevel"/>
    <w:tmpl w:val="9F0E514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2FA6"/>
    <w:rsid w:val="00042ECC"/>
    <w:rsid w:val="000922B1"/>
    <w:rsid w:val="000F06E7"/>
    <w:rsid w:val="001136FD"/>
    <w:rsid w:val="00114314"/>
    <w:rsid w:val="001303B9"/>
    <w:rsid w:val="00143998"/>
    <w:rsid w:val="00147768"/>
    <w:rsid w:val="00182966"/>
    <w:rsid w:val="001C2690"/>
    <w:rsid w:val="001D0168"/>
    <w:rsid w:val="001D464D"/>
    <w:rsid w:val="002442F2"/>
    <w:rsid w:val="002600B0"/>
    <w:rsid w:val="002738D1"/>
    <w:rsid w:val="002C4895"/>
    <w:rsid w:val="002E7631"/>
    <w:rsid w:val="0036707F"/>
    <w:rsid w:val="003C6C2F"/>
    <w:rsid w:val="003E72FC"/>
    <w:rsid w:val="00404CAF"/>
    <w:rsid w:val="00495BF2"/>
    <w:rsid w:val="004A4F40"/>
    <w:rsid w:val="004F5B7B"/>
    <w:rsid w:val="0051218C"/>
    <w:rsid w:val="005B6953"/>
    <w:rsid w:val="005D6226"/>
    <w:rsid w:val="00606276"/>
    <w:rsid w:val="00626B2B"/>
    <w:rsid w:val="00652DEA"/>
    <w:rsid w:val="00672B91"/>
    <w:rsid w:val="006F0043"/>
    <w:rsid w:val="0074628A"/>
    <w:rsid w:val="007B08DA"/>
    <w:rsid w:val="008544AD"/>
    <w:rsid w:val="008844B8"/>
    <w:rsid w:val="0088459F"/>
    <w:rsid w:val="00910617"/>
    <w:rsid w:val="00940CE7"/>
    <w:rsid w:val="009869BA"/>
    <w:rsid w:val="00995D7F"/>
    <w:rsid w:val="009B3555"/>
    <w:rsid w:val="009F68E9"/>
    <w:rsid w:val="009F7A79"/>
    <w:rsid w:val="00A122E6"/>
    <w:rsid w:val="00A66081"/>
    <w:rsid w:val="00B30216"/>
    <w:rsid w:val="00B554A3"/>
    <w:rsid w:val="00C90B43"/>
    <w:rsid w:val="00CB3794"/>
    <w:rsid w:val="00CE0D7B"/>
    <w:rsid w:val="00D10026"/>
    <w:rsid w:val="00DE2FA6"/>
    <w:rsid w:val="00E01A28"/>
    <w:rsid w:val="00E60026"/>
    <w:rsid w:val="00E8184C"/>
    <w:rsid w:val="00F427A6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F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DE2FA6"/>
    <w:pPr>
      <w:spacing w:before="3"/>
      <w:ind w:right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DE2FA6"/>
    <w:pPr>
      <w:ind w:right="599"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DE2FA6"/>
    <w:pPr>
      <w:ind w:right="1244" w:hanging="848"/>
      <w:outlineLvl w:val="2"/>
    </w:pPr>
  </w:style>
  <w:style w:type="paragraph" w:styleId="Titolo4">
    <w:name w:val="heading 4"/>
    <w:basedOn w:val="Normale"/>
    <w:link w:val="Titolo4Carattere"/>
    <w:uiPriority w:val="9"/>
    <w:unhideWhenUsed/>
    <w:qFormat/>
    <w:rsid w:val="00DE2FA6"/>
    <w:pPr>
      <w:spacing w:before="91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F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2FA6"/>
    <w:rPr>
      <w:rFonts w:ascii="Arial" w:eastAsia="Arial" w:hAnsi="Arial" w:cs="Arial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2FA6"/>
    <w:rPr>
      <w:rFonts w:ascii="Arial" w:eastAsia="Arial" w:hAnsi="Arial" w:cs="Aria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E2FA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E2F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E2FA6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FA6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E2FA6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E2FA6"/>
    <w:pPr>
      <w:spacing w:before="3"/>
      <w:ind w:left="71"/>
    </w:pPr>
  </w:style>
  <w:style w:type="paragraph" w:styleId="Intestazione">
    <w:name w:val="header"/>
    <w:basedOn w:val="Normale"/>
    <w:link w:val="IntestazioneCarattere"/>
    <w:uiPriority w:val="99"/>
    <w:unhideWhenUsed/>
    <w:rsid w:val="00DE2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FA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E2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FA6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36707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707F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95D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95D7F"/>
    <w:rPr>
      <w:rFonts w:ascii="Arial" w:eastAsia="Arial" w:hAnsi="Arial" w:cs="Arial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95D7F"/>
    <w:pPr>
      <w:suppressLineNumbers/>
      <w:suppressAutoHyphens/>
      <w:autoSpaceDE/>
      <w:autoSpaceDN/>
      <w:ind w:left="283" w:hanging="283"/>
    </w:pPr>
    <w:rPr>
      <w:rFonts w:ascii="Times New Roman" w:eastAsia="DejaVu Sans" w:hAnsi="Times New Roman" w:cs="Times New Roman"/>
      <w:kern w:val="2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5D7F"/>
    <w:rPr>
      <w:rFonts w:ascii="Times New Roman" w:eastAsia="DejaVu Sans" w:hAnsi="Times New Roman" w:cs="Times New Roman"/>
      <w:kern w:val="2"/>
      <w:sz w:val="20"/>
      <w:szCs w:val="20"/>
      <w:lang w:eastAsia="it-IT"/>
    </w:rPr>
  </w:style>
  <w:style w:type="character" w:customStyle="1" w:styleId="Caratteredellanota">
    <w:name w:val="Carattere della nota"/>
    <w:rsid w:val="00995D7F"/>
    <w:rPr>
      <w:rFonts w:ascii="Times New Roman" w:hAnsi="Times New Roman" w:cs="Times New Roman" w:hint="default"/>
      <w:vertAlign w:val="superscript"/>
    </w:rPr>
  </w:style>
  <w:style w:type="table" w:styleId="Grigliatabella">
    <w:name w:val="Table Grid"/>
    <w:basedOn w:val="Tabellanormale"/>
    <w:uiPriority w:val="59"/>
    <w:rsid w:val="00E6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0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02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11003@pec.istruzione.it" TargetMode="External"/><Relationship Id="rId1" Type="http://schemas.openxmlformats.org/officeDocument/2006/relationships/hyperlink" Target="mailto:mois81100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F6B2-C44D-4177-8E23-71A605E9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rizzitiello</dc:creator>
  <cp:lastModifiedBy>utente</cp:lastModifiedBy>
  <cp:revision>3</cp:revision>
  <dcterms:created xsi:type="dcterms:W3CDTF">2020-01-27T08:39:00Z</dcterms:created>
  <dcterms:modified xsi:type="dcterms:W3CDTF">2020-01-27T08:41:00Z</dcterms:modified>
</cp:coreProperties>
</file>