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-21969</wp:posOffset>
            </wp:positionH>
            <wp:positionV relativeFrom="paragraph">
              <wp:posOffset>254</wp:posOffset>
            </wp:positionV>
            <wp:extent cx="6300470" cy="647237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47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915.0" w:type="dxa"/>
        <w:jc w:val="left"/>
        <w:tblInd w:w="-15.0" w:type="dxa"/>
        <w:tblLayout w:type="fixed"/>
        <w:tblLook w:val="0400"/>
      </w:tblPr>
      <w:tblGrid>
        <w:gridCol w:w="3135"/>
        <w:gridCol w:w="1155"/>
        <w:gridCol w:w="1170"/>
        <w:gridCol w:w="1350"/>
        <w:gridCol w:w="1560"/>
        <w:gridCol w:w="1545"/>
        <w:tblGridChange w:id="0">
          <w:tblGrid>
            <w:gridCol w:w="3135"/>
            <w:gridCol w:w="1155"/>
            <w:gridCol w:w="1170"/>
            <w:gridCol w:w="1350"/>
            <w:gridCol w:w="1560"/>
            <w:gridCol w:w="1545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ALLEGATO B: GRIGLIA DI VALUTAZIONE DEI TITOLI PER </w:t>
            </w:r>
          </w:p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essere in possesso dei requisiti di cui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all’articolo 5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per il ruolo per cui si presenta domanda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essere docente interno per tutto il periodo dell’incarico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NELLO SPECIFICO DIPARTIMENTO IN CUI SI 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(vecchio ordinamento o magistrale)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(voto &lt; 100:15 punti;     100 &lt;= voto &lt;105: 18 punti;    voto &gt;105: 20 punti;   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A2. LAUREA TRIENNALE INERENTE AL RUOLO SPECIFICO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 alternativa ai punti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valutato un solo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A4. DOTTORATO DI RICERCA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max 5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A5. MASTER UNIVERSITARIO DI I e II LIVELLO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max 5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A6. CORSO DI PERFEZIONAMENTO ATTINENTE ALLA SELEZIONE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max 5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2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 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C1. CONOSCENZE SPECIFICHE DELL'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esperienze di esperto in tematiche inerenti all’argomento della selezione presso scuole statali)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C2. CONOSCENZE SPECIFICHE DELL'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pubblicazioni, docenza in  corsi di formazione online, inerenti all’argomento della selezione)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C3. CONOSCENZE SPECIFICHE DELL'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esperienze di esperto in tematiche inerenti all’argomento della selezione se non coincidenti con quelli del punto C1)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corsi di formazione seguiti min. 12 ore, con rilascio di attestato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esperienze lavorative professionali inerenti all’oggetto dell’incarico e alla tematica dello stesso se non coincidenti con i punti C1 e C3)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i38oZ2LUOuLV/KOlxx0SP9Q/Kw==">CgMxLjA4AHIhMUxGTloyR3U4azVMTDFlZXM4TmtuNTVQR181Mlh3bklz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