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0"/>
        <w:gridCol w:w="1080"/>
        <w:gridCol w:w="1050"/>
        <w:gridCol w:w="1455"/>
        <w:gridCol w:w="1365"/>
        <w:gridCol w:w="1590"/>
        <w:tblGridChange w:id="0">
          <w:tblGrid>
            <w:gridCol w:w="3330"/>
            <w:gridCol w:w="1080"/>
            <w:gridCol w:w="1050"/>
            <w:gridCol w:w="1455"/>
            <w:gridCol w:w="1365"/>
            <w:gridCol w:w="1590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-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ind w:left="-2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ALLEGATO B - GRIGLIA DI VALUTAZIONE DEI TITOLI PER VALUTATORE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-20" w:firstLine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Criteri di ammissione: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ind w:left="10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rtl w:val="0"/>
              </w:rPr>
              <w:t xml:space="preserve">essere in possesso dei requisiti di cui all’articolo 8 per il ruolo per cui si presenta domanda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ind w:left="10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rtl w:val="0"/>
              </w:rPr>
              <w:t xml:space="preserve">essere docente interno per tutto il periodo dell’incarico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-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ind w:left="-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-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-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-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A1. LAUREA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A2. LAUREA (triennale in alternativa al punto A1)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A3. DIPLOMA SCUOLA SECONDARIA (in alternativa al punto A1 e A2)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CERTIFICAZIONI OTTENUTE 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  <w:tab/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Max 1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ind w:left="-20" w:firstLine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ESPERIENZE DI VALUTATORE NEI PROGETTI FINANZIATI DAL FONDO SOCIALE EUROPEO (PON – POR- PNRR ETC.)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3 punti cad.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C2. ESPERIENZE DI FACILITATORE (min. 20 ore) NEI PROGETTI FINANZIATI DAL FONDO SOCIALE EUROPEO (PON – POR- PNRR ETC.)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C3. ESPERIENZE DI COORDINATORE/GRUPPO DI LAVORO  NEI PROGETTI FINANZIATI DAL FONDO SOCIALE EUROPEO (PON – POR- PNRR ETC.))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C4. CONOSCENZE SPECIFICHE DELL' ARGOMENTO DELLA VALUTAZIONE (documentate attraverso pubblicazioni o corsi seguiti (min 12 ore) per i quali è stato rilasciato un attestato)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Max. 5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