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2F" w:rsidRDefault="00871D4C">
      <w:pPr>
        <w:pStyle w:val="Titolo1"/>
        <w:tabs>
          <w:tab w:val="center" w:pos="1188"/>
          <w:tab w:val="center" w:pos="5353"/>
          <w:tab w:val="center" w:pos="9535"/>
        </w:tabs>
        <w:ind w:left="0" w:right="0" w:firstLine="0"/>
        <w:jc w:val="left"/>
      </w:pPr>
      <w:r>
        <w:rPr>
          <w:sz w:val="32"/>
        </w:rPr>
        <w:tab/>
      </w:r>
      <w:r>
        <w:rPr>
          <w:b w:val="0"/>
          <w:sz w:val="24"/>
        </w:rPr>
        <w:t xml:space="preserve"> </w:t>
      </w:r>
    </w:p>
    <w:p w:rsidR="004F78A4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tbl>
      <w:tblPr>
        <w:tblpPr w:leftFromText="141" w:rightFromText="141" w:vertAnchor="page" w:horzAnchor="margin" w:tblpX="70" w:tblpY="676"/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9364"/>
      </w:tblGrid>
      <w:tr w:rsidR="004F78A4" w:rsidTr="006A3C50">
        <w:trPr>
          <w:cantSplit/>
          <w:trHeight w:val="714"/>
        </w:trPr>
        <w:tc>
          <w:tcPr>
            <w:tcW w:w="1338" w:type="dxa"/>
            <w:vMerge w:val="restart"/>
            <w:vAlign w:val="center"/>
          </w:tcPr>
          <w:p w:rsidR="004F78A4" w:rsidRDefault="004F78A4" w:rsidP="006A3C50">
            <w:pPr>
              <w:pStyle w:val="Pidipagina"/>
              <w:tabs>
                <w:tab w:val="clear" w:pos="4819"/>
                <w:tab w:val="clear" w:pos="9638"/>
              </w:tabs>
              <w:snapToGrid w:val="0"/>
              <w:rPr>
                <w:b/>
                <w:bCs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95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4" w:type="dxa"/>
            <w:vAlign w:val="center"/>
          </w:tcPr>
          <w:p w:rsidR="004F78A4" w:rsidRDefault="004F78A4" w:rsidP="006A3C50">
            <w:pPr>
              <w:pStyle w:val="Corpodeltesto21"/>
              <w:snapToGrid w:val="0"/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DIREZIONE DIDATTICA 7° CIRCOLO </w:t>
            </w:r>
          </w:p>
          <w:p w:rsidR="004F78A4" w:rsidRDefault="004F78A4" w:rsidP="006A3C5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di PIACENZA</w:t>
            </w:r>
          </w:p>
        </w:tc>
      </w:tr>
      <w:tr w:rsidR="004F78A4" w:rsidRPr="00695D51" w:rsidTr="006A3C50">
        <w:trPr>
          <w:cantSplit/>
          <w:trHeight w:val="889"/>
        </w:trPr>
        <w:tc>
          <w:tcPr>
            <w:tcW w:w="1338" w:type="dxa"/>
            <w:vMerge/>
            <w:vAlign w:val="center"/>
          </w:tcPr>
          <w:p w:rsidR="004F78A4" w:rsidRDefault="004F78A4" w:rsidP="006A3C50">
            <w:pPr>
              <w:pStyle w:val="Corpodeltesto31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9364" w:type="dxa"/>
            <w:vAlign w:val="center"/>
          </w:tcPr>
          <w:p w:rsidR="004F78A4" w:rsidRDefault="004F78A4" w:rsidP="006A3C50">
            <w:pPr>
              <w:pStyle w:val="Corpodeltesto21"/>
              <w:snapToGrid w:val="0"/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via </w:t>
            </w:r>
            <w:proofErr w:type="spellStart"/>
            <w:r>
              <w:rPr>
                <w:i/>
                <w:sz w:val="20"/>
              </w:rPr>
              <w:t>Emmanueli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gramStart"/>
            <w:r>
              <w:rPr>
                <w:i/>
                <w:sz w:val="20"/>
              </w:rPr>
              <w:t>30  -</w:t>
            </w:r>
            <w:proofErr w:type="gramEnd"/>
            <w:r>
              <w:rPr>
                <w:i/>
                <w:sz w:val="20"/>
              </w:rPr>
              <w:t xml:space="preserve"> 29121 Piacenza (PC)</w:t>
            </w:r>
          </w:p>
          <w:p w:rsidR="004F78A4" w:rsidRDefault="004F78A4" w:rsidP="006A3C50">
            <w:pPr>
              <w:pStyle w:val="Corpodeltesto21"/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Tel. 0523/453812 - Fax 0523/753047</w:t>
            </w:r>
          </w:p>
          <w:p w:rsidR="004F78A4" w:rsidRDefault="004F78A4" w:rsidP="006A3C50">
            <w:pPr>
              <w:pStyle w:val="Corpodeltesto31"/>
              <w:spacing w:after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Email: segreteria@settimopc.it – casella </w:t>
            </w:r>
            <w:proofErr w:type="spellStart"/>
            <w:r>
              <w:rPr>
                <w:i/>
                <w:sz w:val="20"/>
              </w:rPr>
              <w:t>pec</w:t>
            </w:r>
            <w:proofErr w:type="spellEnd"/>
            <w:r>
              <w:rPr>
                <w:i/>
                <w:sz w:val="20"/>
              </w:rPr>
              <w:t>: pcee00700x@pec.istruzione.it</w:t>
            </w:r>
          </w:p>
          <w:p w:rsidR="004F78A4" w:rsidRPr="003B0C45" w:rsidRDefault="004F78A4" w:rsidP="006A3C50">
            <w:pPr>
              <w:pStyle w:val="Corpodeltesto31"/>
              <w:spacing w:after="0"/>
              <w:jc w:val="center"/>
              <w:rPr>
                <w:rFonts w:cs="Times New Roman"/>
                <w:lang w:val="en-GB"/>
              </w:rPr>
            </w:pPr>
            <w:proofErr w:type="spellStart"/>
            <w:r>
              <w:rPr>
                <w:i/>
                <w:sz w:val="20"/>
                <w:lang w:val="en-GB"/>
              </w:rPr>
              <w:t>sito</w:t>
            </w:r>
            <w:proofErr w:type="spellEnd"/>
            <w:r>
              <w:rPr>
                <w:i/>
                <w:sz w:val="20"/>
                <w:lang w:val="en-GB"/>
              </w:rPr>
              <w:t xml:space="preserve"> web: </w:t>
            </w:r>
            <w:hyperlink r:id="rId6" w:history="1">
              <w:r w:rsidRPr="003C2615">
                <w:rPr>
                  <w:rStyle w:val="Collegamentoipertestuale"/>
                  <w:lang w:val="en-GB"/>
                </w:rPr>
                <w:t>www.7circolopiacenza.edu.it</w:t>
              </w:r>
            </w:hyperlink>
          </w:p>
        </w:tc>
      </w:tr>
    </w:tbl>
    <w:p w:rsidR="004F78A4" w:rsidRDefault="004F78A4" w:rsidP="004F78A4">
      <w:pPr>
        <w:rPr>
          <w:sz w:val="36"/>
          <w:szCs w:val="36"/>
        </w:rPr>
      </w:pPr>
      <w:r w:rsidRPr="0092672D">
        <w:rPr>
          <w:sz w:val="36"/>
          <w:szCs w:val="36"/>
        </w:rPr>
        <w:tab/>
      </w:r>
      <w:r w:rsidRPr="0092672D">
        <w:rPr>
          <w:sz w:val="36"/>
          <w:szCs w:val="36"/>
        </w:rPr>
        <w:tab/>
      </w:r>
      <w:r w:rsidRPr="00BE43FA">
        <w:rPr>
          <w:noProof/>
          <w:shd w:val="clear" w:color="auto" w:fill="FFFFFF"/>
        </w:rPr>
        <w:drawing>
          <wp:inline distT="0" distB="0" distL="0" distR="0">
            <wp:extent cx="5715000" cy="847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72D">
        <w:rPr>
          <w:sz w:val="36"/>
          <w:szCs w:val="36"/>
        </w:rPr>
        <w:tab/>
      </w:r>
    </w:p>
    <w:p w:rsidR="001C242F" w:rsidRDefault="004F78A4" w:rsidP="004F78A4">
      <w:pPr>
        <w:tabs>
          <w:tab w:val="center" w:pos="4843"/>
          <w:tab w:val="center" w:pos="5410"/>
          <w:tab w:val="center" w:pos="6261"/>
          <w:tab w:val="center" w:pos="6969"/>
          <w:tab w:val="center" w:pos="7680"/>
          <w:tab w:val="center" w:pos="9424"/>
        </w:tabs>
        <w:spacing w:after="119" w:line="259" w:lineRule="auto"/>
        <w:ind w:left="0" w:right="195" w:firstLine="0"/>
        <w:jc w:val="right"/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</w:t>
      </w:r>
      <w:r w:rsidR="00871D4C">
        <w:rPr>
          <w:b/>
          <w:color w:val="000000"/>
        </w:rPr>
        <w:tab/>
      </w:r>
      <w:r>
        <w:rPr>
          <w:color w:val="000000"/>
        </w:rPr>
        <w:t>Ai Revisori d’ambito</w:t>
      </w:r>
      <w:r w:rsidR="00871D4C">
        <w:rPr>
          <w:color w:val="000000"/>
        </w:rPr>
        <w:t xml:space="preserve"> </w:t>
      </w:r>
    </w:p>
    <w:p w:rsidR="001C242F" w:rsidRDefault="00871D4C">
      <w:pPr>
        <w:spacing w:after="119" w:line="259" w:lineRule="auto"/>
        <w:ind w:right="211"/>
        <w:jc w:val="right"/>
      </w:pPr>
      <w:r>
        <w:rPr>
          <w:color w:val="000000"/>
        </w:rPr>
        <w:t xml:space="preserve">Dott. Armando Acri </w:t>
      </w:r>
    </w:p>
    <w:p w:rsidR="001C242F" w:rsidRDefault="00871D4C">
      <w:pPr>
        <w:spacing w:after="0" w:line="259" w:lineRule="auto"/>
        <w:ind w:right="211"/>
        <w:jc w:val="right"/>
      </w:pPr>
      <w:r>
        <w:rPr>
          <w:color w:val="000000"/>
        </w:rPr>
        <w:t xml:space="preserve">Dott. </w:t>
      </w:r>
      <w:r w:rsidR="004F78A4">
        <w:rPr>
          <w:color w:val="000000"/>
        </w:rPr>
        <w:t>Teresa Cappabianca</w:t>
      </w:r>
      <w:r>
        <w:rPr>
          <w:color w:val="000000"/>
        </w:rPr>
        <w:t xml:space="preserve"> 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1C242F" w:rsidRDefault="00871D4C">
      <w:pPr>
        <w:tabs>
          <w:tab w:val="center" w:pos="2315"/>
          <w:tab w:val="center" w:pos="4667"/>
          <w:tab w:val="center" w:pos="6498"/>
          <w:tab w:val="center" w:pos="7685"/>
          <w:tab w:val="center" w:pos="9063"/>
          <w:tab w:val="center" w:pos="10174"/>
        </w:tabs>
        <w:spacing w:after="0" w:line="259" w:lineRule="auto"/>
        <w:ind w:left="-15" w:firstLine="0"/>
        <w:jc w:val="left"/>
      </w:pPr>
      <w:r>
        <w:rPr>
          <w:b/>
          <w:color w:val="000000"/>
        </w:rPr>
        <w:t xml:space="preserve">OGGETTO: </w:t>
      </w:r>
      <w:r>
        <w:rPr>
          <w:b/>
          <w:color w:val="000000"/>
        </w:rPr>
        <w:tab/>
        <w:t xml:space="preserve">ATTESTAZIONE </w:t>
      </w:r>
      <w:r>
        <w:rPr>
          <w:b/>
          <w:color w:val="000000"/>
        </w:rPr>
        <w:tab/>
        <w:t xml:space="preserve">DELL’ASSOLVIMENTO </w:t>
      </w:r>
      <w:r>
        <w:rPr>
          <w:b/>
          <w:color w:val="000000"/>
        </w:rPr>
        <w:tab/>
        <w:t xml:space="preserve">DEGLI </w:t>
      </w:r>
      <w:r>
        <w:rPr>
          <w:b/>
          <w:color w:val="000000"/>
        </w:rPr>
        <w:tab/>
        <w:t xml:space="preserve">OBBLIGHI </w:t>
      </w:r>
      <w:r>
        <w:rPr>
          <w:b/>
          <w:color w:val="000000"/>
        </w:rPr>
        <w:tab/>
        <w:t xml:space="preserve">RELATIVI </w:t>
      </w:r>
      <w:r>
        <w:rPr>
          <w:b/>
          <w:color w:val="000000"/>
        </w:rPr>
        <w:tab/>
        <w:t xml:space="preserve">ALLA </w:t>
      </w:r>
    </w:p>
    <w:p w:rsidR="001C242F" w:rsidRDefault="00871D4C">
      <w:pPr>
        <w:spacing w:after="0" w:line="259" w:lineRule="auto"/>
        <w:ind w:left="-5"/>
        <w:jc w:val="left"/>
      </w:pPr>
      <w:r>
        <w:rPr>
          <w:b/>
          <w:color w:val="000000"/>
        </w:rPr>
        <w:t xml:space="preserve">TRASPARENZA E ALL’INTEGRITA’ (ART. 1, C. 562, L. 2022 N. 179) – DELIBERA ANAC 203/2023. </w:t>
      </w:r>
    </w:p>
    <w:p w:rsidR="001C242F" w:rsidRDefault="00871D4C">
      <w:pPr>
        <w:spacing w:after="0" w:line="259" w:lineRule="auto"/>
        <w:ind w:left="4963" w:firstLine="0"/>
        <w:jc w:val="left"/>
      </w:pPr>
      <w:r>
        <w:rPr>
          <w:b/>
          <w:color w:val="000000"/>
        </w:rPr>
        <w:t xml:space="preserve">                                    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  <w:sz w:val="4"/>
        </w:rPr>
        <w:t xml:space="preserve"> </w:t>
      </w:r>
      <w:r>
        <w:rPr>
          <w:b/>
          <w:color w:val="000000"/>
        </w:rPr>
        <w:t xml:space="preserve"> </w:t>
      </w:r>
    </w:p>
    <w:p w:rsidR="001C242F" w:rsidRDefault="00871D4C" w:rsidP="004F78A4">
      <w:pPr>
        <w:spacing w:after="0" w:line="259" w:lineRule="auto"/>
        <w:ind w:left="0" w:firstLine="0"/>
        <w:jc w:val="left"/>
      </w:pPr>
      <w:r>
        <w:rPr>
          <w:color w:val="000000"/>
          <w:sz w:val="6"/>
        </w:rPr>
        <w:t xml:space="preserve"> </w:t>
      </w:r>
      <w:r>
        <w:t xml:space="preserve"> </w:t>
      </w:r>
      <w:r>
        <w:tab/>
        <w:t xml:space="preserve">Gent.mi, </w:t>
      </w:r>
    </w:p>
    <w:p w:rsidR="001C242F" w:rsidRDefault="000779E9">
      <w:pPr>
        <w:ind w:left="-5" w:right="209"/>
      </w:pPr>
      <w:r>
        <w:t>a seguito dell’incontro del 26.10.2023</w:t>
      </w:r>
      <w:r w:rsidR="00871D4C">
        <w:t xml:space="preserve">, come suggerito dal Dott. </w:t>
      </w:r>
      <w:r w:rsidR="00221597">
        <w:t>Acr</w:t>
      </w:r>
      <w:r w:rsidR="00871D4C">
        <w:t xml:space="preserve">i, ed a seguito del verbale </w:t>
      </w:r>
      <w:proofErr w:type="spellStart"/>
      <w:r w:rsidR="00871D4C">
        <w:t>Athena</w:t>
      </w:r>
      <w:proofErr w:type="spellEnd"/>
      <w:r w:rsidR="00871D4C">
        <w:t xml:space="preserve"> di rilevazione </w:t>
      </w:r>
      <w:proofErr w:type="spellStart"/>
      <w:r w:rsidR="00871D4C">
        <w:t>Anac</w:t>
      </w:r>
      <w:proofErr w:type="spellEnd"/>
      <w:r w:rsidR="00871D4C">
        <w:t xml:space="preserve"> del 4.12.23, come previsto dalla delibera ANAC 2023 del 17.05.2023, </w:t>
      </w:r>
      <w:r w:rsidR="00871D4C">
        <w:t xml:space="preserve"> </w:t>
      </w:r>
      <w:r w:rsidR="00871D4C">
        <w:t xml:space="preserve"> sono a dichiarare quali voci NON sono applicabili alla gestione generale della scuola, ed in particolare a quella di cui sono</w:t>
      </w:r>
      <w:r w:rsidR="005C4915">
        <w:t xml:space="preserve"> Dirigente pro-tempore</w:t>
      </w:r>
      <w:r w:rsidR="00871D4C">
        <w:t>:</w:t>
      </w:r>
    </w:p>
    <w:p w:rsidR="000779E9" w:rsidRDefault="000779E9" w:rsidP="000779E9">
      <w:pPr>
        <w:pStyle w:val="Paragrafoelenco"/>
        <w:numPr>
          <w:ilvl w:val="0"/>
          <w:numId w:val="1"/>
        </w:numPr>
        <w:ind w:right="209"/>
      </w:pPr>
      <w:r>
        <w:t xml:space="preserve">Sezione Disposizioni generali – atti generali - </w:t>
      </w:r>
      <w:r>
        <w:t>Documenti di programmazione strategico-gestionale</w:t>
      </w:r>
      <w:r>
        <w:t xml:space="preserve"> - </w:t>
      </w:r>
      <w:r>
        <w:t>Direttive ministri, documento di programmazione, obiettivi strategici in materia di prevenzione della corruzione e trasparenza</w:t>
      </w:r>
      <w:r>
        <w:t xml:space="preserve"> (none)</w:t>
      </w:r>
    </w:p>
    <w:p w:rsidR="000779E9" w:rsidRDefault="000779E9" w:rsidP="000779E9">
      <w:pPr>
        <w:pStyle w:val="Paragrafoelenco"/>
        <w:numPr>
          <w:ilvl w:val="0"/>
          <w:numId w:val="1"/>
        </w:numPr>
        <w:ind w:right="209"/>
      </w:pPr>
      <w:r>
        <w:t xml:space="preserve">Sezione Disposizioni generali – </w:t>
      </w:r>
      <w:r w:rsidRPr="000779E9">
        <w:t>Oneri informativi per cittadini e imprese</w:t>
      </w:r>
      <w:r w:rsidRPr="000779E9">
        <w:tab/>
        <w:t>Art. 12, c. 1-bis, d.lgs. n. 33/2013</w:t>
      </w:r>
      <w:r w:rsidRPr="000779E9">
        <w:tab/>
        <w:t>Scadenzario obblighi amministrativi</w:t>
      </w:r>
      <w:r w:rsidRPr="000779E9">
        <w:tab/>
        <w:t>Scadenzario con l'indicazione delle date di efficacia dei nuovi obblighi amministrativi a carico di cittadini e imprese introdotti dalle amministrazioni secondo le modalità definite con DPCM 8 novembre 2013</w:t>
      </w:r>
      <w:r>
        <w:t xml:space="preserve"> (none)</w:t>
      </w:r>
    </w:p>
    <w:p w:rsidR="000779E9" w:rsidRDefault="000779E9" w:rsidP="000779E9">
      <w:pPr>
        <w:pStyle w:val="Paragrafoelenco"/>
        <w:numPr>
          <w:ilvl w:val="0"/>
          <w:numId w:val="1"/>
        </w:numPr>
        <w:ind w:right="209"/>
      </w:pPr>
      <w:r>
        <w:t>Statuti e leggi regionali</w:t>
      </w:r>
      <w:r>
        <w:tab/>
        <w:t>Estremi e testi ufficiali aggiornati degli Statuti e delle norme di legge regionali, che regolano le funzioni, l'organizzazione e lo svolgimento delle attività di competenza dell'amministrazione</w:t>
      </w:r>
      <w:r>
        <w:t xml:space="preserve"> (none)</w:t>
      </w:r>
    </w:p>
    <w:p w:rsidR="001C242F" w:rsidRDefault="00871D4C" w:rsidP="000779E9">
      <w:pPr>
        <w:numPr>
          <w:ilvl w:val="0"/>
          <w:numId w:val="1"/>
        </w:numPr>
        <w:ind w:right="209"/>
      </w:pPr>
      <w:r>
        <w:t>S</w:t>
      </w:r>
      <w:r>
        <w:t xml:space="preserve">ezione Bandi di concorso: </w:t>
      </w:r>
      <w:r w:rsidR="000779E9" w:rsidRPr="000779E9">
        <w:t>Bandi di concorso (da pubblicare in tabelle)</w:t>
      </w:r>
      <w:r w:rsidR="000779E9" w:rsidRPr="000779E9">
        <w:tab/>
        <w:t xml:space="preserve">Bandi di concorso per il reclutamento, a qualsiasi titolo, di personale presso l'amministrazione </w:t>
      </w:r>
      <w:proofErr w:type="spellStart"/>
      <w:r w:rsidR="000779E9" w:rsidRPr="000779E9">
        <w:t>nonche</w:t>
      </w:r>
      <w:proofErr w:type="spellEnd"/>
      <w:r w:rsidR="000779E9" w:rsidRPr="000779E9">
        <w:t>' i criteri di valutazione della Commissione e le tracce delle prove scritte</w:t>
      </w:r>
      <w:r w:rsidR="000779E9">
        <w:t xml:space="preserve"> </w:t>
      </w:r>
      <w:r>
        <w:t>il reclutamento del personale avviene tramite graduatorie riferite ad ordinanze ministeriali e non a bandi di concorso emanati da ciascuna scuola (come invece di norma avviene per EE LL e aziende sanitari</w:t>
      </w:r>
      <w:r>
        <w:t>e)</w:t>
      </w:r>
      <w:r w:rsidR="000779E9">
        <w:t xml:space="preserve"> (none)</w:t>
      </w:r>
      <w:r>
        <w:t xml:space="preserve">; </w:t>
      </w:r>
    </w:p>
    <w:p w:rsidR="001C242F" w:rsidRDefault="00871D4C">
      <w:pPr>
        <w:numPr>
          <w:ilvl w:val="0"/>
          <w:numId w:val="1"/>
        </w:numPr>
        <w:ind w:right="209"/>
      </w:pPr>
      <w:r>
        <w:t xml:space="preserve">Sezione Bandi e Contratti – sottosezione “Trasparenza nella partecipazione di portatori di interesse e dibattito pubblico”: la sezione non è applicabile perché riferita a tipi di procedure non gestite dalla scuola, poiché le opere infrastrutturali di </w:t>
      </w:r>
      <w:r>
        <w:t xml:space="preserve">interesse scolastico sono in capo all’EL (Comune per il 1° ciclo di istruzione) che è proprietario degli edifici scolastici; </w:t>
      </w:r>
    </w:p>
    <w:p w:rsidR="001C242F" w:rsidRDefault="00871D4C">
      <w:pPr>
        <w:numPr>
          <w:ilvl w:val="0"/>
          <w:numId w:val="1"/>
        </w:numPr>
        <w:ind w:right="209"/>
      </w:pPr>
      <w:r>
        <w:lastRenderedPageBreak/>
        <w:t>Sezione Bandi e Contratti – sottosezione “Collegi consultivi tecnici”: non è applicabile alla scuola, in quanto riguarda la realiz</w:t>
      </w:r>
      <w:r>
        <w:t>zazione di opere pubbliche o la loro manutenzione straordinaria, in capo all’EL come s</w:t>
      </w:r>
      <w:r w:rsidR="004F78A4">
        <w:t>o</w:t>
      </w:r>
      <w:r>
        <w:t xml:space="preserve">pra rilevato; </w:t>
      </w:r>
    </w:p>
    <w:p w:rsidR="001C242F" w:rsidRDefault="00871D4C">
      <w:pPr>
        <w:numPr>
          <w:ilvl w:val="0"/>
          <w:numId w:val="1"/>
        </w:numPr>
        <w:ind w:right="209"/>
      </w:pPr>
      <w:r>
        <w:t xml:space="preserve">Sezione Bandi e Contratti – “Concessioni e partenariato pubblico privato”: non è applicabile, in quanto la scuola non svolge attività di questo tipo; </w:t>
      </w:r>
    </w:p>
    <w:p w:rsidR="001C242F" w:rsidRDefault="00871D4C">
      <w:pPr>
        <w:numPr>
          <w:ilvl w:val="0"/>
          <w:numId w:val="1"/>
        </w:numPr>
        <w:ind w:right="209"/>
      </w:pPr>
      <w:r>
        <w:t>Sez</w:t>
      </w:r>
      <w:r>
        <w:t xml:space="preserve">ione Bandi e Contratti – sottosezione “Affidamenti diretti di lavori, servizi e forniture di somma urgenza e di protezione civile”: la scuola non ha proceduto a questo tipo di affidamento; </w:t>
      </w:r>
    </w:p>
    <w:p w:rsidR="001C242F" w:rsidRDefault="00871D4C">
      <w:pPr>
        <w:numPr>
          <w:ilvl w:val="0"/>
          <w:numId w:val="1"/>
        </w:numPr>
        <w:ind w:right="209"/>
      </w:pPr>
      <w:r>
        <w:t xml:space="preserve">Sezione Bandi e Contratti – sottosezione “Affidamenti in </w:t>
      </w:r>
      <w:proofErr w:type="spellStart"/>
      <w:r>
        <w:t>house</w:t>
      </w:r>
      <w:proofErr w:type="spellEnd"/>
      <w:r>
        <w:t>”: l</w:t>
      </w:r>
      <w:r>
        <w:t xml:space="preserve">a scuola non opera tale tipo di affidamenti; </w:t>
      </w:r>
    </w:p>
    <w:p w:rsidR="001C242F" w:rsidRDefault="00871D4C">
      <w:pPr>
        <w:numPr>
          <w:ilvl w:val="0"/>
          <w:numId w:val="1"/>
        </w:numPr>
        <w:ind w:right="209"/>
      </w:pPr>
      <w:r>
        <w:t xml:space="preserve">Sezione Bandi e Contratti – sottosezione “Elenchi ufficiali di operatori economici riconosciuti e certificazioni”: la scuola non è ente che gestisce tali elenchi e non è organismo di certificazione; </w:t>
      </w:r>
    </w:p>
    <w:p w:rsidR="001C242F" w:rsidRDefault="00871D4C" w:rsidP="00B4201B">
      <w:pPr>
        <w:spacing w:after="4" w:line="259" w:lineRule="auto"/>
        <w:ind w:left="0" w:firstLine="0"/>
        <w:jc w:val="left"/>
      </w:pPr>
      <w:r>
        <w:t xml:space="preserve"> </w:t>
      </w:r>
    </w:p>
    <w:p w:rsidR="001C242F" w:rsidRDefault="00871D4C">
      <w:pPr>
        <w:numPr>
          <w:ilvl w:val="0"/>
          <w:numId w:val="2"/>
        </w:numPr>
        <w:ind w:right="209"/>
      </w:pPr>
      <w:r>
        <w:t>Sezione Bilanci – sottosezione “Nuclei di valutazione e verifica degli investimenti pubblici”: come specificato nella colonna “Contenuti dell’obbligo” tale obbligo sussiste per le amministrazioni centrali e regionali, pertanto non è applicabile alla scuola</w:t>
      </w:r>
      <w:r>
        <w:t xml:space="preserve">; </w:t>
      </w:r>
    </w:p>
    <w:p w:rsidR="001C242F" w:rsidRDefault="00871D4C">
      <w:pPr>
        <w:numPr>
          <w:ilvl w:val="0"/>
          <w:numId w:val="2"/>
        </w:numPr>
        <w:ind w:right="209"/>
      </w:pPr>
      <w:r>
        <w:t xml:space="preserve">Sezione Opere pubbliche (e relative sottosezioni): non è applicabile perché la scuola non è ente in capo alla quale vi sono finanziamenti per la realizzazione di opere pubbliche; </w:t>
      </w:r>
    </w:p>
    <w:p w:rsidR="001C242F" w:rsidRDefault="00871D4C">
      <w:pPr>
        <w:numPr>
          <w:ilvl w:val="0"/>
          <w:numId w:val="2"/>
        </w:numPr>
        <w:ind w:right="209"/>
      </w:pPr>
      <w:r>
        <w:t xml:space="preserve">Sezione Altri contenuti – sottosezione “Regolamenti per la prevenzione e </w:t>
      </w:r>
      <w:r>
        <w:t xml:space="preserve">la repressione della corruzione e dell’illegalità”: come esplicita la colonna del contenuto dell’obbligo esso sussiste “laddove adottati” e questa istituzione non ne ha adottati, pertanto la voce non è applicabile. </w:t>
      </w:r>
    </w:p>
    <w:p w:rsidR="001C242F" w:rsidRDefault="00871D4C">
      <w:pPr>
        <w:spacing w:after="116" w:line="259" w:lineRule="auto"/>
        <w:ind w:left="0" w:firstLine="0"/>
        <w:jc w:val="left"/>
      </w:pPr>
      <w:r>
        <w:t xml:space="preserve"> </w:t>
      </w:r>
    </w:p>
    <w:p w:rsidR="001C242F" w:rsidRDefault="00871D4C">
      <w:pPr>
        <w:spacing w:after="116" w:line="259" w:lineRule="auto"/>
        <w:ind w:left="-5" w:right="209"/>
      </w:pPr>
      <w:r>
        <w:t>Su queste voci presenti in elenco pert</w:t>
      </w:r>
      <w:r>
        <w:t xml:space="preserve">anto richiedo l’applicazione della dicitura “Non applicabile”. </w:t>
      </w:r>
    </w:p>
    <w:p w:rsidR="005C4915" w:rsidRDefault="00871D4C" w:rsidP="00871D4C">
      <w:pPr>
        <w:spacing w:after="114" w:line="259" w:lineRule="auto"/>
        <w:ind w:left="0" w:firstLine="0"/>
      </w:pPr>
      <w:r>
        <w:t xml:space="preserve">Inoltre dichiaro che stiamo provvedendo alle correzioni indicate nel verbale suddetto. </w:t>
      </w:r>
      <w:r>
        <w:t>Di eventuali ed</w:t>
      </w:r>
      <w:r>
        <w:t xml:space="preserve"> ulteriori criticità, che necessitano però di un riscontro diretto, auspico di poter parlare durante l’incontro che avremo, con il supporto anche della mia </w:t>
      </w:r>
      <w:proofErr w:type="gramStart"/>
      <w:r>
        <w:t xml:space="preserve">DSGA, </w:t>
      </w:r>
      <w:bookmarkStart w:id="0" w:name="_GoBack"/>
      <w:bookmarkEnd w:id="0"/>
      <w:r>
        <w:t xml:space="preserve"> </w:t>
      </w:r>
      <w:r w:rsidR="005C4915">
        <w:t>Signora</w:t>
      </w:r>
      <w:proofErr w:type="gramEnd"/>
      <w:r w:rsidR="005C4915">
        <w:t xml:space="preserve"> </w:t>
      </w:r>
      <w:r>
        <w:t xml:space="preserve"> </w:t>
      </w:r>
      <w:r w:rsidR="005C4915">
        <w:t>Agata Zampaglione</w:t>
      </w:r>
      <w:r>
        <w:t>, in specie</w:t>
      </w:r>
    </w:p>
    <w:p w:rsidR="001C242F" w:rsidRDefault="005C4915" w:rsidP="00871D4C">
      <w:pPr>
        <w:spacing w:after="114" w:line="259" w:lineRule="auto"/>
        <w:ind w:left="0" w:firstLine="0"/>
      </w:pPr>
      <w:r>
        <w:t>per le diverse voci.</w:t>
      </w:r>
    </w:p>
    <w:p w:rsidR="00871D4C" w:rsidRDefault="00871D4C" w:rsidP="00B4201B">
      <w:pPr>
        <w:spacing w:after="114" w:line="259" w:lineRule="auto"/>
        <w:ind w:left="0" w:firstLine="0"/>
        <w:jc w:val="left"/>
      </w:pPr>
    </w:p>
    <w:p w:rsidR="001C242F" w:rsidRDefault="00871D4C">
      <w:pPr>
        <w:spacing w:after="116" w:line="259" w:lineRule="auto"/>
        <w:ind w:left="-5" w:right="209"/>
      </w:pPr>
      <w:r>
        <w:t>L’occa</w:t>
      </w:r>
      <w:r>
        <w:t xml:space="preserve">sione è gradita per porgere i migliori saluti in attesa di incontrarci di persona. </w:t>
      </w:r>
    </w:p>
    <w:p w:rsidR="001C242F" w:rsidRDefault="00871D4C" w:rsidP="00221597">
      <w:pPr>
        <w:spacing w:after="0" w:line="259" w:lineRule="auto"/>
        <w:ind w:left="0" w:firstLine="0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221597" w:rsidRDefault="00871D4C" w:rsidP="00871D4C">
      <w:pPr>
        <w:spacing w:after="0" w:line="259" w:lineRule="auto"/>
        <w:ind w:left="0" w:firstLine="0"/>
        <w:jc w:val="left"/>
        <w:rPr>
          <w:color w:val="000000"/>
        </w:rPr>
      </w:pPr>
      <w:r>
        <w:rPr>
          <w:color w:val="000000"/>
        </w:rPr>
        <w:t>Piacenza, 05.12.2023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60"/>
      </w:tblGrid>
      <w:tr w:rsidR="00221597" w:rsidRPr="00752686" w:rsidTr="006A3C50">
        <w:trPr>
          <w:jc w:val="right"/>
        </w:trPr>
        <w:tc>
          <w:tcPr>
            <w:tcW w:w="4760" w:type="dxa"/>
            <w:shd w:val="clear" w:color="auto" w:fill="auto"/>
            <w:hideMark/>
          </w:tcPr>
          <w:p w:rsidR="00221597" w:rsidRPr="00752686" w:rsidRDefault="00221597" w:rsidP="006A3C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IL</w:t>
            </w:r>
            <w:r w:rsidRPr="00752686">
              <w:rPr>
                <w:rFonts w:ascii="Bookman Old Style" w:hAnsi="Bookman Old Style"/>
                <w:sz w:val="18"/>
                <w:szCs w:val="18"/>
              </w:rPr>
              <w:t xml:space="preserve"> DIRIGENTE SCOLASTIC</w:t>
            </w:r>
            <w:r>
              <w:rPr>
                <w:rFonts w:ascii="Bookman Old Style" w:hAnsi="Bookman Old Style"/>
                <w:sz w:val="18"/>
                <w:szCs w:val="18"/>
              </w:rPr>
              <w:t>O</w:t>
            </w:r>
            <w:r w:rsidRPr="0075268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221597" w:rsidRPr="00752686" w:rsidTr="006A3C50">
        <w:trPr>
          <w:jc w:val="right"/>
        </w:trPr>
        <w:tc>
          <w:tcPr>
            <w:tcW w:w="4760" w:type="dxa"/>
            <w:shd w:val="clear" w:color="auto" w:fill="auto"/>
            <w:hideMark/>
          </w:tcPr>
          <w:p w:rsidR="00221597" w:rsidRPr="00752686" w:rsidRDefault="00221597" w:rsidP="006A3C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52686">
              <w:rPr>
                <w:rFonts w:ascii="Bookman Old Style" w:hAnsi="Bookman Old Style"/>
                <w:sz w:val="18"/>
                <w:szCs w:val="18"/>
              </w:rPr>
              <w:t>Prof.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221597">
              <w:rPr>
                <w:rFonts w:ascii="Edwardian Script ITC" w:hAnsi="Edwardian Script ITC"/>
                <w:sz w:val="28"/>
                <w:szCs w:val="18"/>
              </w:rPr>
              <w:t>Antonino Furnari</w:t>
            </w:r>
          </w:p>
        </w:tc>
      </w:tr>
      <w:tr w:rsidR="00221597" w:rsidRPr="00752686" w:rsidTr="006A3C50">
        <w:trPr>
          <w:jc w:val="right"/>
        </w:trPr>
        <w:tc>
          <w:tcPr>
            <w:tcW w:w="4760" w:type="dxa"/>
            <w:shd w:val="clear" w:color="auto" w:fill="auto"/>
          </w:tcPr>
          <w:p w:rsidR="00221597" w:rsidRPr="00752686" w:rsidRDefault="00221597" w:rsidP="006A3C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686">
              <w:rPr>
                <w:rFonts w:ascii="Arial" w:hAnsi="Arial" w:cs="Arial"/>
                <w:sz w:val="18"/>
                <w:szCs w:val="18"/>
              </w:rPr>
              <w:t>(Firma autografa sostituita a mezzo stampa ai sensi</w:t>
            </w:r>
          </w:p>
          <w:p w:rsidR="00221597" w:rsidRPr="00752686" w:rsidRDefault="00221597" w:rsidP="006A3C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686">
              <w:rPr>
                <w:rFonts w:ascii="Arial" w:hAnsi="Arial" w:cs="Arial"/>
                <w:sz w:val="18"/>
                <w:szCs w:val="18"/>
              </w:rPr>
              <w:t xml:space="preserve">e per gli effetti dell’art. 3, c. 2 </w:t>
            </w:r>
            <w:proofErr w:type="spellStart"/>
            <w:proofErr w:type="gramStart"/>
            <w:r w:rsidRPr="00752686">
              <w:rPr>
                <w:rFonts w:ascii="Arial" w:hAnsi="Arial" w:cs="Arial"/>
                <w:sz w:val="18"/>
                <w:szCs w:val="18"/>
              </w:rPr>
              <w:t>D.Lgs</w:t>
            </w:r>
            <w:proofErr w:type="spellEnd"/>
            <w:proofErr w:type="gramEnd"/>
            <w:r w:rsidRPr="00752686">
              <w:rPr>
                <w:rFonts w:ascii="Arial" w:hAnsi="Arial" w:cs="Arial"/>
                <w:sz w:val="18"/>
                <w:szCs w:val="18"/>
              </w:rPr>
              <w:t xml:space="preserve"> n. 39/93)</w:t>
            </w:r>
          </w:p>
          <w:p w:rsidR="00221597" w:rsidRPr="00752686" w:rsidRDefault="00221597" w:rsidP="006A3C5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21597" w:rsidRDefault="00221597" w:rsidP="00221597">
      <w:pPr>
        <w:spacing w:after="0" w:line="259" w:lineRule="auto"/>
        <w:ind w:left="0" w:firstLine="0"/>
        <w:jc w:val="right"/>
      </w:pPr>
    </w:p>
    <w:p w:rsidR="001C242F" w:rsidRDefault="00871D4C">
      <w:pPr>
        <w:spacing w:after="0" w:line="259" w:lineRule="auto"/>
        <w:ind w:left="2131" w:firstLine="0"/>
        <w:jc w:val="center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2131" w:firstLine="0"/>
        <w:jc w:val="center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2131" w:firstLine="0"/>
        <w:jc w:val="center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2131" w:firstLine="0"/>
        <w:jc w:val="center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2131" w:firstLine="0"/>
        <w:jc w:val="center"/>
      </w:pPr>
      <w:r>
        <w:rPr>
          <w:color w:val="000000"/>
        </w:rPr>
        <w:t xml:space="preserve"> </w:t>
      </w:r>
    </w:p>
    <w:p w:rsidR="001C242F" w:rsidRDefault="00871D4C" w:rsidP="004F78A4">
      <w:pPr>
        <w:spacing w:after="17" w:line="243" w:lineRule="auto"/>
        <w:ind w:left="0" w:right="112" w:firstLine="0"/>
        <w:jc w:val="center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lastRenderedPageBreak/>
        <w:t xml:space="preserve"> </w:t>
      </w:r>
      <w:r>
        <w:rPr>
          <w:color w:val="000000"/>
        </w:rPr>
        <w:t xml:space="preserve"> </w:t>
      </w:r>
    </w:p>
    <w:p w:rsidR="001C242F" w:rsidRDefault="00871D4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sectPr w:rsidR="001C242F">
      <w:pgSz w:w="11900" w:h="16840"/>
      <w:pgMar w:top="286" w:right="495" w:bottom="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C136F"/>
    <w:multiLevelType w:val="hybridMultilevel"/>
    <w:tmpl w:val="9DBEF4A6"/>
    <w:lvl w:ilvl="0" w:tplc="127EEC54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07EA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A28E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46A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2FC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038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CD8B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E791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4C6E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401726"/>
    <w:multiLevelType w:val="hybridMultilevel"/>
    <w:tmpl w:val="7162611E"/>
    <w:lvl w:ilvl="0" w:tplc="58BC8EF2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41B1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117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6A1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8038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40D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41F3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46D2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16A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2F"/>
    <w:rsid w:val="000779E9"/>
    <w:rsid w:val="001B7C7D"/>
    <w:rsid w:val="001C242F"/>
    <w:rsid w:val="00221597"/>
    <w:rsid w:val="004F78A4"/>
    <w:rsid w:val="005C4915"/>
    <w:rsid w:val="00871D4C"/>
    <w:rsid w:val="00B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244E"/>
  <w15:docId w15:val="{81DD1AF6-59BA-4356-8BAD-EF09F9D3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7" w:lineRule="auto"/>
      <w:ind w:left="10" w:hanging="10"/>
      <w:jc w:val="both"/>
    </w:pPr>
    <w:rPr>
      <w:rFonts w:ascii="Cambria" w:eastAsia="Cambria" w:hAnsi="Cambria" w:cs="Cambria"/>
      <w:color w:val="222222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2134" w:hanging="10"/>
      <w:jc w:val="center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8"/>
    </w:rPr>
  </w:style>
  <w:style w:type="paragraph" w:styleId="Pidipagina">
    <w:name w:val="footer"/>
    <w:basedOn w:val="Normale"/>
    <w:link w:val="PidipaginaCarattere"/>
    <w:uiPriority w:val="99"/>
    <w:rsid w:val="004F78A4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8A4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sid w:val="004F78A4"/>
    <w:rPr>
      <w:rFonts w:cs="Times New Roman"/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4F78A4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SimSun" w:hAnsi="Times New Roman" w:cs="Mangal"/>
      <w:color w:val="auto"/>
      <w:kern w:val="1"/>
      <w:szCs w:val="24"/>
      <w:lang w:eastAsia="hi-IN" w:bidi="hi-IN"/>
    </w:rPr>
  </w:style>
  <w:style w:type="paragraph" w:customStyle="1" w:styleId="Corpodeltesto31">
    <w:name w:val="Corpo del testo 31"/>
    <w:basedOn w:val="Normale"/>
    <w:uiPriority w:val="99"/>
    <w:rsid w:val="004F78A4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SimSun" w:hAnsi="Times New Roman" w:cs="Mangal"/>
      <w:color w:val="auto"/>
      <w:kern w:val="1"/>
      <w:sz w:val="16"/>
      <w:szCs w:val="16"/>
      <w:lang w:eastAsia="hi-IN" w:bidi="hi-IN"/>
    </w:rPr>
  </w:style>
  <w:style w:type="paragraph" w:styleId="Paragrafoelenco">
    <w:name w:val="List Paragraph"/>
    <w:basedOn w:val="Normale"/>
    <w:uiPriority w:val="34"/>
    <w:qFormat/>
    <w:rsid w:val="00077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circolopiacenza.edu.i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8230EBBE7CD947A4D41C52BD829358" ma:contentTypeVersion="16" ma:contentTypeDescription="Creare un nuovo documento." ma:contentTypeScope="" ma:versionID="cd0760cdede004070460a08618dec4f7">
  <xsd:schema xmlns:xsd="http://www.w3.org/2001/XMLSchema" xmlns:xs="http://www.w3.org/2001/XMLSchema" xmlns:p="http://schemas.microsoft.com/office/2006/metadata/properties" xmlns:ns2="caba7922-5a05-4dec-9eff-6401f0c35c35" xmlns:ns3="3a247bfd-8e89-4b3d-99e7-b67f8f171ed6" targetNamespace="http://schemas.microsoft.com/office/2006/metadata/properties" ma:root="true" ma:fieldsID="b901a7d75a1a42fa4c81d3951f0075fb" ns2:_="" ns3:_="">
    <xsd:import namespace="caba7922-5a05-4dec-9eff-6401f0c35c35"/>
    <xsd:import namespace="3a247bfd-8e89-4b3d-99e7-b67f8f1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a7922-5a05-4dec-9eff-6401f0c35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9924a13-1ac4-467a-90d6-afdbd8d30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7bfd-8e89-4b3d-99e7-b67f8f1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601DB-D73D-4859-904C-3871CEE2DC83}"/>
</file>

<file path=customXml/itemProps2.xml><?xml version="1.0" encoding="utf-8"?>
<ds:datastoreItem xmlns:ds="http://schemas.openxmlformats.org/officeDocument/2006/customXml" ds:itemID="{59AF2715-CD29-4379-B2A0-B3DDA53C0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ds CD6 per attestazione su AT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ds CD6 per attestazione su AT</dc:title>
  <dc:subject/>
  <dc:creator>robertap</dc:creator>
  <cp:keywords/>
  <cp:lastModifiedBy>Agata Zampaglione</cp:lastModifiedBy>
  <cp:revision>5</cp:revision>
  <dcterms:created xsi:type="dcterms:W3CDTF">2023-12-05T12:05:00Z</dcterms:created>
  <dcterms:modified xsi:type="dcterms:W3CDTF">2023-12-05T12:18:00Z</dcterms:modified>
</cp:coreProperties>
</file>