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lineRule="auto" w:line="360" w:before="0" w:after="227"/>
        <w:ind w:firstLine="227" w:left="0" w:right="0"/>
        <w:jc w:val="left"/>
        <w:rPr>
          <w:rFonts w:ascii="Carlito" w:hAnsi="Carlito"/>
        </w:rPr>
      </w:pPr>
      <w:r>
        <w:rPr>
          <w:rFonts w:ascii="Carlito" w:hAnsi="Carlito"/>
        </w:rPr>
        <w:t>L</w:t>
      </w:r>
      <w:r>
        <w:rPr>
          <w:rFonts w:ascii="Carlito" w:hAnsi="Carlito"/>
        </w:rPr>
        <w:t xml:space="preserve">’Assemblea delle lavoratrici e dei lavoratori dell’Istituto di Istruzione Superiore Statale “Giovanni Valle”, </w:t>
      </w:r>
      <w:r>
        <w:rPr>
          <w:rFonts w:ascii="Carlito" w:hAnsi="Carlito"/>
        </w:rPr>
        <w:t xml:space="preserve">riunitasi in </w:t>
      </w:r>
      <w:r>
        <w:rPr>
          <w:rFonts w:ascii="Carlito" w:hAnsi="Carlito"/>
        </w:rPr>
        <w:t xml:space="preserve">Padova, </w:t>
      </w:r>
      <w:r>
        <w:rPr>
          <w:rFonts w:ascii="Carlito" w:hAnsi="Carlito"/>
        </w:rPr>
        <w:t>il</w:t>
      </w:r>
      <w:r>
        <w:rPr>
          <w:rFonts w:ascii="Carlito" w:hAnsi="Carlito"/>
        </w:rPr>
        <w:t xml:space="preserve"> </w:t>
      </w:r>
      <w:r>
        <w:rPr>
          <w:rFonts w:ascii="Carlito" w:hAnsi="Carlito"/>
        </w:rPr>
        <w:t>giovedì 8</w:t>
      </w:r>
      <w:r>
        <w:rPr>
          <w:rFonts w:ascii="Carlito" w:hAnsi="Carlito"/>
        </w:rPr>
        <w:t xml:space="preserve"> </w:t>
      </w:r>
      <w:r>
        <w:rPr>
          <w:rFonts w:ascii="Carlito" w:hAnsi="Carlito"/>
        </w:rPr>
        <w:t>febbraio</w:t>
      </w:r>
      <w:r>
        <w:rPr>
          <w:rFonts w:ascii="Carlito" w:hAnsi="Carlito"/>
        </w:rPr>
        <w:t xml:space="preserve"> 2024, </w:t>
      </w:r>
      <w:r>
        <w:rPr>
          <w:rFonts w:ascii="Carlito" w:hAnsi="Carlito"/>
        </w:rPr>
        <w:t>presso la sede di via Tiziano Minio</w:t>
      </w:r>
    </w:p>
    <w:p>
      <w:pPr>
        <w:pStyle w:val="BodyText"/>
        <w:bidi w:val="0"/>
        <w:spacing w:lineRule="auto" w:line="360" w:before="0" w:after="227"/>
        <w:ind w:firstLine="227" w:left="0" w:right="0"/>
        <w:jc w:val="center"/>
        <w:rPr>
          <w:rFonts w:ascii="Carlito" w:hAnsi="Carlito"/>
        </w:rPr>
      </w:pPr>
      <w:r>
        <w:rPr>
          <w:rFonts w:ascii="Carlito" w:hAnsi="Carlito"/>
        </w:rPr>
        <w:t>c</w:t>
      </w:r>
      <w:r>
        <w:rPr>
          <w:rFonts w:ascii="Carlito" w:hAnsi="Carlito"/>
        </w:rPr>
        <w:t>onsiderato che:</w:t>
      </w:r>
    </w:p>
    <w:p>
      <w:pPr>
        <w:pStyle w:val="BodyText"/>
        <w:numPr>
          <w:ilvl w:val="0"/>
          <w:numId w:val="1"/>
        </w:numPr>
        <w:bidi w:val="0"/>
        <w:spacing w:lineRule="auto" w:line="360" w:before="0" w:after="227"/>
        <w:jc w:val="left"/>
        <w:rPr>
          <w:rFonts w:ascii="Carlito" w:hAnsi="Carlito"/>
        </w:rPr>
      </w:pPr>
      <w:r>
        <w:rPr>
          <w:rFonts w:ascii="Carlito" w:hAnsi="Carlito"/>
        </w:rPr>
        <w:t xml:space="preserve">all'articolo 11 della Costituzione della Repubblica Italiana </w:t>
      </w:r>
      <w:r>
        <w:rPr>
          <w:rFonts w:ascii="Carlito" w:hAnsi="Carlito"/>
        </w:rPr>
        <w:t xml:space="preserve">l’Italia </w:t>
      </w:r>
      <w:r>
        <w:rPr>
          <w:rFonts w:ascii="Carlito" w:hAnsi="Carlito"/>
        </w:rPr>
        <w:t>ripudia la guerra come mezzo di offesa alla libertà dei popoli e promuove i valori della pace, della cooperazione internazionale e del rispetto dei diritti fondamentali dell’</w:t>
      </w:r>
      <w:r>
        <w:rPr>
          <w:rFonts w:ascii="Carlito" w:hAnsi="Carlito"/>
        </w:rPr>
        <w:t>uomo;</w:t>
      </w:r>
    </w:p>
    <w:p>
      <w:pPr>
        <w:pStyle w:val="BodyText"/>
        <w:numPr>
          <w:ilvl w:val="0"/>
          <w:numId w:val="1"/>
        </w:numPr>
        <w:bidi w:val="0"/>
        <w:spacing w:lineRule="auto" w:line="360" w:before="0" w:after="227"/>
        <w:jc w:val="left"/>
        <w:rPr>
          <w:rFonts w:ascii="Carlito" w:hAnsi="Carlito"/>
        </w:rPr>
      </w:pPr>
      <w:r>
        <w:rPr>
          <w:rFonts w:ascii="Carlito" w:hAnsi="Carlito"/>
        </w:rPr>
        <w:t xml:space="preserve">i principi fondamentali della Carta delle Nazioni Unite </w:t>
      </w:r>
      <w:r>
        <w:rPr>
          <w:rFonts w:ascii="Carlito" w:hAnsi="Carlito"/>
        </w:rPr>
        <w:t>stabiliscono</w:t>
      </w:r>
      <w:r>
        <w:rPr>
          <w:rFonts w:ascii="Carlito" w:hAnsi="Carlito"/>
        </w:rPr>
        <w:t xml:space="preserve"> la necessità di preservare la pace e la giustizia internazionale, rispettare i diritti umani e garantire l'uguaglianza tra i popoli;</w:t>
      </w:r>
    </w:p>
    <w:p>
      <w:pPr>
        <w:pStyle w:val="BodyText"/>
        <w:numPr>
          <w:ilvl w:val="0"/>
          <w:numId w:val="1"/>
        </w:numPr>
        <w:bidi w:val="0"/>
        <w:spacing w:lineRule="auto" w:line="360" w:before="0" w:after="227"/>
        <w:jc w:val="left"/>
        <w:rPr>
          <w:rFonts w:ascii="Carlito" w:hAnsi="Carlito"/>
        </w:rPr>
      </w:pPr>
      <w:r>
        <w:rPr>
          <w:rFonts w:ascii="Carlito" w:hAnsi="Carlito"/>
        </w:rPr>
        <w:t>la scuola è il luogo dove si dovrebbero sostanziare tali principi di pace e uguaglianza attraverso l’Educazione Civica;</w:t>
      </w:r>
    </w:p>
    <w:p>
      <w:pPr>
        <w:pStyle w:val="BodyText"/>
        <w:bidi w:val="0"/>
        <w:spacing w:lineRule="auto" w:line="360" w:before="0" w:after="227"/>
        <w:ind w:firstLine="227" w:left="0" w:right="0"/>
        <w:jc w:val="center"/>
        <w:rPr>
          <w:rFonts w:ascii="Carlito" w:hAnsi="Carlito"/>
        </w:rPr>
      </w:pPr>
      <w:r>
        <w:rPr>
          <w:rFonts w:ascii="Carlito" w:hAnsi="Carlito"/>
        </w:rPr>
        <w:t>e</w:t>
      </w:r>
      <w:r>
        <w:rPr>
          <w:rFonts w:ascii="Carlito" w:hAnsi="Carlito"/>
        </w:rPr>
        <w:t>sprime</w:t>
      </w:r>
    </w:p>
    <w:p>
      <w:pPr>
        <w:pStyle w:val="BodyText"/>
        <w:numPr>
          <w:ilvl w:val="0"/>
          <w:numId w:val="2"/>
        </w:numPr>
        <w:bidi w:val="0"/>
        <w:spacing w:lineRule="auto" w:line="360" w:before="0" w:after="227"/>
        <w:jc w:val="left"/>
        <w:rPr>
          <w:rFonts w:ascii="Carlito" w:hAnsi="Carlito"/>
        </w:rPr>
      </w:pPr>
      <w:r>
        <w:rPr>
          <w:rFonts w:ascii="Carlito" w:hAnsi="Carlito"/>
        </w:rPr>
        <w:t>grave preoccupazione per la situazione dei diritti umani nel territorio palestinese occupato, in particolare per la sistematica violazione della quarta Convenzione di Ginevra e dell'articolo 49 della medesima convenzione, che vieta la creazione di insediamenti da parte di una potenza occupante.</w:t>
      </w:r>
    </w:p>
    <w:p>
      <w:pPr>
        <w:pStyle w:val="BodyText"/>
        <w:bidi w:val="0"/>
        <w:spacing w:lineRule="auto" w:line="360" w:before="0" w:after="227"/>
        <w:ind w:firstLine="227" w:left="0" w:right="0"/>
        <w:jc w:val="center"/>
        <w:rPr>
          <w:rFonts w:ascii="Carlito" w:hAnsi="Carlito"/>
        </w:rPr>
      </w:pPr>
      <w:r>
        <w:rPr>
          <w:rFonts w:ascii="Carlito" w:hAnsi="Carlito"/>
        </w:rPr>
        <w:t>Denuncia</w:t>
      </w:r>
    </w:p>
    <w:p>
      <w:pPr>
        <w:pStyle w:val="BodyText"/>
        <w:numPr>
          <w:ilvl w:val="0"/>
          <w:numId w:val="3"/>
        </w:numPr>
        <w:bidi w:val="0"/>
        <w:spacing w:lineRule="auto" w:line="360" w:before="0" w:after="227"/>
        <w:jc w:val="left"/>
        <w:rPr>
          <w:rFonts w:ascii="Carlito" w:hAnsi="Carlito"/>
        </w:rPr>
      </w:pPr>
      <w:r>
        <w:rPr>
          <w:rFonts w:ascii="Carlito" w:hAnsi="Carlito"/>
        </w:rPr>
        <w:t>una</w:t>
      </w:r>
      <w:r>
        <w:rPr>
          <w:rFonts w:ascii="Carlito" w:hAnsi="Carlito"/>
        </w:rPr>
        <w:t xml:space="preserve"> cultura che alimenta l'islamofobia, silenzia, esclude, stereotip</w:t>
      </w:r>
      <w:r>
        <w:rPr>
          <w:rFonts w:ascii="Carlito" w:hAnsi="Carlito"/>
        </w:rPr>
        <w:t>izz</w:t>
      </w:r>
      <w:r>
        <w:rPr>
          <w:rFonts w:ascii="Carlito" w:hAnsi="Carlito"/>
        </w:rPr>
        <w:t xml:space="preserve">a, diffama </w:t>
      </w:r>
      <w:r>
        <w:rPr>
          <w:rFonts w:ascii="Carlito" w:hAnsi="Carlito"/>
        </w:rPr>
        <w:t>e/</w:t>
      </w:r>
      <w:r>
        <w:rPr>
          <w:rFonts w:ascii="Carlito" w:hAnsi="Carlito"/>
        </w:rPr>
        <w:t>o deumanizza le narrative dei Palestinesi, alterando la percezione della lotta per la giustizia del popolo palestinese.</w:t>
      </w:r>
    </w:p>
    <w:p>
      <w:pPr>
        <w:pStyle w:val="BodyText"/>
        <w:bidi w:val="0"/>
        <w:spacing w:lineRule="auto" w:line="360" w:before="0" w:after="227"/>
        <w:ind w:firstLine="227" w:left="0" w:right="0"/>
        <w:jc w:val="center"/>
        <w:rPr>
          <w:rFonts w:ascii="Carlito" w:hAnsi="Carlito"/>
        </w:rPr>
      </w:pPr>
      <w:r>
        <w:rPr>
          <w:rFonts w:ascii="Carlito" w:hAnsi="Carlito"/>
        </w:rPr>
        <w:t>Ricorda</w:t>
      </w:r>
    </w:p>
    <w:p>
      <w:pPr>
        <w:pStyle w:val="BodyText"/>
        <w:numPr>
          <w:ilvl w:val="0"/>
          <w:numId w:val="4"/>
        </w:numPr>
        <w:bidi w:val="0"/>
        <w:spacing w:lineRule="auto" w:line="360" w:before="0" w:after="227"/>
        <w:jc w:val="left"/>
        <w:rPr>
          <w:rFonts w:ascii="Carlito" w:hAnsi="Carlito"/>
        </w:rPr>
      </w:pPr>
      <w:r>
        <w:rPr>
          <w:rFonts w:ascii="Carlito" w:hAnsi="Carlito"/>
        </w:rPr>
        <w:t xml:space="preserve">il diritto all’autodeterminazione del popolo palestinese, garantito dal diritto internazionale. Le forze di occupazione israeliane </w:t>
      </w:r>
      <w:r>
        <w:rPr>
          <w:rFonts w:ascii="Carlito" w:hAnsi="Carlito"/>
        </w:rPr>
        <w:t>in Cisgiordania</w:t>
      </w:r>
      <w:r>
        <w:rPr>
          <w:rFonts w:ascii="Carlito" w:hAnsi="Carlito"/>
        </w:rPr>
        <w:t xml:space="preserve"> </w:t>
      </w:r>
      <w:r>
        <w:rPr>
          <w:rFonts w:ascii="Carlito" w:hAnsi="Carlito"/>
        </w:rPr>
        <w:t>e l’esercito d’invasione a Gaza</w:t>
      </w:r>
      <w:r>
        <w:rPr>
          <w:rFonts w:ascii="Carlito" w:hAnsi="Carlito"/>
        </w:rPr>
        <w:t xml:space="preserve"> uccidono, mutilano, rendono orfani e detengono centinaia di bambini;</w:t>
      </w:r>
    </w:p>
    <w:p>
      <w:pPr>
        <w:pStyle w:val="BodyText"/>
        <w:numPr>
          <w:ilvl w:val="0"/>
          <w:numId w:val="5"/>
        </w:numPr>
        <w:bidi w:val="0"/>
        <w:spacing w:lineRule="auto" w:line="360" w:before="0" w:after="227"/>
        <w:jc w:val="left"/>
        <w:rPr>
          <w:rFonts w:ascii="Carlito" w:hAnsi="Carlito"/>
        </w:rPr>
      </w:pPr>
      <w:r>
        <w:rPr>
          <w:rFonts w:ascii="Carlito" w:hAnsi="Carlito"/>
        </w:rPr>
        <w:t>che l</w:t>
      </w:r>
      <w:r>
        <w:rPr>
          <w:rFonts w:ascii="Carlito" w:hAnsi="Carlito"/>
        </w:rPr>
        <w:t>a Relatrice speciale O.N.U. sulla situazione dei diritti umani nei territori palestinesi occupati dal 1967, Francesca Albanese</w:t>
      </w:r>
      <w:r>
        <w:rPr>
          <w:rStyle w:val="FootnoteReference"/>
          <w:rFonts w:ascii="Carlito" w:hAnsi="Carlito"/>
        </w:rPr>
        <w:footnoteReference w:id="2"/>
      </w:r>
      <w:r>
        <w:rPr>
          <w:rFonts w:ascii="Carlito" w:hAnsi="Carlito"/>
        </w:rPr>
        <w:t>, ha recentemente presentato un rapporto all'Assemblea Generale denunciando tale situazione e i crimini commessi dalle forze di occupazione israeliane contro i bambini palestinesi;</w:t>
      </w:r>
    </w:p>
    <w:p>
      <w:pPr>
        <w:pStyle w:val="BodyText"/>
        <w:numPr>
          <w:ilvl w:val="0"/>
          <w:numId w:val="5"/>
        </w:numPr>
        <w:bidi w:val="0"/>
        <w:spacing w:lineRule="auto" w:line="360" w:before="0" w:after="227"/>
        <w:jc w:val="left"/>
        <w:rPr>
          <w:rFonts w:ascii="Carlito" w:hAnsi="Carlito"/>
        </w:rPr>
      </w:pPr>
      <w:r>
        <w:rPr>
          <w:rFonts w:ascii="Carlito" w:hAnsi="Carlito"/>
        </w:rPr>
        <w:t>che i</w:t>
      </w:r>
      <w:r>
        <w:rPr>
          <w:rFonts w:ascii="Carlito" w:hAnsi="Carlito"/>
        </w:rPr>
        <w:t xml:space="preserve">n una lettera al Consiglio </w:t>
      </w:r>
      <w:r>
        <w:rPr>
          <w:rFonts w:ascii="Carlito" w:hAnsi="Carlito"/>
        </w:rPr>
        <w:t>di sicurezza delle Nazioni Unite</w:t>
      </w:r>
      <w:r>
        <w:rPr>
          <w:rFonts w:ascii="Carlito" w:hAnsi="Carlito"/>
        </w:rPr>
        <w:t xml:space="preserve">, </w:t>
      </w:r>
      <w:r>
        <w:rPr>
          <w:rFonts w:ascii="Carlito" w:hAnsi="Carlito"/>
        </w:rPr>
        <w:t xml:space="preserve">il Segretario Generale dell’O.N.U. Antonio </w:t>
      </w:r>
      <w:r>
        <w:rPr>
          <w:rFonts w:ascii="Carlito" w:hAnsi="Carlito"/>
        </w:rPr>
        <w:t>Guterres ha invocato l’articolo 99, contenuto nel Capitolo XV della Carta, secondo il quale il Segretario Generale delle Nazioni Unite “può portare all’attenzione del Consiglio di Sicurezza qualsiasi questione che, a suo parere, possa minacciare il mantenimento della pace e della sicurezza internazionale”</w:t>
      </w:r>
      <w:r>
        <w:rPr>
          <w:rStyle w:val="FootnoteReference"/>
          <w:rFonts w:ascii="Carlito" w:hAnsi="Carlito"/>
        </w:rPr>
        <w:footnoteReference w:id="3"/>
      </w:r>
      <w:r>
        <w:rPr>
          <w:rFonts w:ascii="Carlito" w:hAnsi="Carlito"/>
        </w:rPr>
        <w:t>;</w:t>
      </w:r>
    </w:p>
    <w:p>
      <w:pPr>
        <w:pStyle w:val="BodyText"/>
        <w:numPr>
          <w:ilvl w:val="0"/>
          <w:numId w:val="5"/>
        </w:numPr>
        <w:bidi w:val="0"/>
        <w:spacing w:lineRule="auto" w:line="360" w:before="0" w:after="227"/>
        <w:jc w:val="left"/>
        <w:rPr>
          <w:rFonts w:ascii="Carlito" w:hAnsi="Carlito"/>
        </w:rPr>
      </w:pPr>
      <w:r>
        <w:rPr>
          <w:rFonts w:ascii="Carlito" w:hAnsi="Carlito"/>
        </w:rPr>
        <w:t>che la Corte Internazionaledi Giustizia, il più importante tribunale delle Nazioni Unite, - in data 26 gennaio 2024 - ha ordinato a Israele di intervenire immediatamente per prendere «tutte le misure in suo potere» per impedire al suo esercito di commettere atti di genocidio nella Striscia di Gaza.</w:t>
      </w:r>
    </w:p>
    <w:p>
      <w:pPr>
        <w:pStyle w:val="BodyText"/>
        <w:bidi w:val="0"/>
        <w:spacing w:lineRule="auto" w:line="360" w:before="0" w:after="227"/>
        <w:ind w:firstLine="227" w:left="0" w:right="0"/>
        <w:jc w:val="center"/>
        <w:rPr>
          <w:rFonts w:ascii="Carlito" w:hAnsi="Carlito"/>
        </w:rPr>
      </w:pPr>
      <w:r>
        <w:rPr>
          <w:rFonts w:ascii="Carlito" w:hAnsi="Carlito"/>
        </w:rPr>
        <w:t xml:space="preserve">Si impegna </w:t>
      </w:r>
      <w:r>
        <w:rPr>
          <w:rFonts w:ascii="Carlito" w:hAnsi="Carlito"/>
        </w:rPr>
        <w:t>e invit</w:t>
      </w:r>
      <w:r>
        <w:rPr>
          <w:rFonts w:ascii="Carlito" w:hAnsi="Carlito"/>
        </w:rPr>
        <w:t>a</w:t>
      </w:r>
      <w:r>
        <w:rPr>
          <w:rFonts w:ascii="Carlito" w:hAnsi="Carlito"/>
        </w:rPr>
        <w:t xml:space="preserve"> la nostra comunità</w:t>
      </w:r>
      <w:r>
        <w:rPr>
          <w:rStyle w:val="FootnoteReference"/>
          <w:rFonts w:ascii="Carlito" w:hAnsi="Carlito"/>
        </w:rPr>
        <w:footnoteReference w:id="4"/>
      </w:r>
      <w:r>
        <w:rPr>
          <w:rFonts w:ascii="Carlito" w:hAnsi="Carlito"/>
        </w:rPr>
        <w:t xml:space="preserve"> a</w:t>
      </w:r>
    </w:p>
    <w:p>
      <w:pPr>
        <w:pStyle w:val="BodyText"/>
        <w:numPr>
          <w:ilvl w:val="0"/>
          <w:numId w:val="6"/>
        </w:numPr>
        <w:bidi w:val="0"/>
        <w:spacing w:lineRule="auto" w:line="360" w:before="0" w:after="227"/>
        <w:jc w:val="left"/>
        <w:rPr>
          <w:rFonts w:ascii="Carlito" w:hAnsi="Carlito"/>
        </w:rPr>
      </w:pPr>
      <w:r>
        <w:rPr>
          <w:rFonts w:ascii="Carlito" w:hAnsi="Carlito"/>
        </w:rPr>
        <w:t>c</w:t>
      </w:r>
      <w:r>
        <w:rPr>
          <w:rFonts w:ascii="Carlito" w:hAnsi="Carlito"/>
        </w:rPr>
        <w:t>ondannare senza ambiguità le uccisioni sommarie di civili palestinesi, comprese le demolizioni e confische di case e terre, le aggressioni dei coloni e altri atti di violenza perpetrati dalle forze di occupazione israeliane;</w:t>
      </w:r>
    </w:p>
    <w:p>
      <w:pPr>
        <w:pStyle w:val="BodyText"/>
        <w:numPr>
          <w:ilvl w:val="0"/>
          <w:numId w:val="6"/>
        </w:numPr>
        <w:bidi w:val="0"/>
        <w:spacing w:lineRule="auto" w:line="360" w:before="0" w:after="227"/>
        <w:jc w:val="left"/>
        <w:rPr>
          <w:rFonts w:ascii="Carlito" w:hAnsi="Carlito"/>
        </w:rPr>
      </w:pPr>
      <w:r>
        <w:rPr>
          <w:rFonts w:ascii="Carlito" w:hAnsi="Carlito"/>
        </w:rPr>
        <w:t>p</w:t>
      </w:r>
      <w:r>
        <w:rPr>
          <w:rFonts w:ascii="Carlito" w:hAnsi="Carlito"/>
        </w:rPr>
        <w:t>romuovere la conoscenza e la discussione sulle violazioni sistematiche dei diritti umani nel territorio palestinese occupato, basando</w:t>
      </w:r>
      <w:r>
        <w:rPr>
          <w:rFonts w:ascii="Carlito" w:hAnsi="Carlito"/>
        </w:rPr>
        <w:t>s</w:t>
      </w:r>
      <w:r>
        <w:rPr>
          <w:rFonts w:ascii="Carlito" w:hAnsi="Carlito"/>
        </w:rPr>
        <w:t>i su analisi fattuali e giuridiche fornite da espert</w:t>
      </w:r>
      <w:r>
        <w:rPr>
          <w:rFonts w:ascii="Carlito" w:hAnsi="Carlito"/>
        </w:rPr>
        <w:t>i</w:t>
      </w:r>
      <w:r>
        <w:rPr>
          <w:rFonts w:ascii="Carlito" w:hAnsi="Carlito"/>
        </w:rPr>
        <w:t>;</w:t>
      </w:r>
    </w:p>
    <w:p>
      <w:pPr>
        <w:pStyle w:val="BodyText"/>
        <w:numPr>
          <w:ilvl w:val="0"/>
          <w:numId w:val="6"/>
        </w:numPr>
        <w:bidi w:val="0"/>
        <w:spacing w:lineRule="auto" w:line="360" w:before="0" w:after="227"/>
        <w:jc w:val="left"/>
        <w:rPr>
          <w:rFonts w:ascii="Carlito" w:hAnsi="Carlito"/>
        </w:rPr>
      </w:pPr>
      <w:r>
        <w:rPr>
          <w:rFonts w:ascii="Carlito" w:hAnsi="Carlito"/>
        </w:rPr>
        <w:t>d</w:t>
      </w:r>
      <w:r>
        <w:rPr>
          <w:rFonts w:ascii="Carlito" w:hAnsi="Carlito"/>
        </w:rPr>
        <w:t xml:space="preserve">enunciare il doppio standard applicato dai media e dagli attori politici nella copertura e nel giudizio degli atti di violenza contro le chiese cristiane in Cisgiordania e </w:t>
      </w:r>
      <w:r>
        <w:rPr>
          <w:rFonts w:ascii="Carlito" w:hAnsi="Carlito"/>
        </w:rPr>
        <w:t xml:space="preserve">gli </w:t>
      </w:r>
      <w:r>
        <w:rPr>
          <w:rFonts w:ascii="Carlito" w:hAnsi="Carlito"/>
        </w:rPr>
        <w:t>altri crimini commessi dalle forze di occupazione israeliane;</w:t>
      </w:r>
    </w:p>
    <w:p>
      <w:pPr>
        <w:pStyle w:val="BodyText"/>
        <w:numPr>
          <w:ilvl w:val="0"/>
          <w:numId w:val="6"/>
        </w:numPr>
        <w:bidi w:val="0"/>
        <w:spacing w:lineRule="auto" w:line="360" w:before="0" w:after="227"/>
        <w:jc w:val="left"/>
        <w:rPr>
          <w:rFonts w:ascii="Carlito" w:hAnsi="Carlito"/>
        </w:rPr>
      </w:pPr>
      <w:r>
        <w:rPr>
          <w:rFonts w:ascii="Carlito" w:hAnsi="Carlito"/>
        </w:rPr>
        <w:t>far conoscere</w:t>
      </w:r>
      <w:r>
        <w:rPr>
          <w:rFonts w:ascii="Carlito" w:hAnsi="Carlito"/>
        </w:rPr>
        <w:t xml:space="preserve"> iniziative come il Movimento BDS</w:t>
      </w:r>
      <w:r>
        <w:rPr>
          <w:rStyle w:val="FootnoteReference"/>
          <w:rFonts w:ascii="Carlito" w:hAnsi="Carlito"/>
        </w:rPr>
        <w:footnoteReference w:id="5"/>
      </w:r>
      <w:r>
        <w:rPr>
          <w:rFonts w:ascii="Carlito" w:hAnsi="Carlito"/>
        </w:rPr>
        <w:t xml:space="preserve"> (Boicottaggio, Disinvestimento e Sanzioni) che mirano ad applicare il diritto internazionale e a porre fine all'occupazione illegale;</w:t>
      </w:r>
    </w:p>
    <w:p>
      <w:pPr>
        <w:pStyle w:val="BodyText"/>
        <w:numPr>
          <w:ilvl w:val="0"/>
          <w:numId w:val="6"/>
        </w:numPr>
        <w:bidi w:val="0"/>
        <w:spacing w:lineRule="auto" w:line="360" w:before="0" w:after="227"/>
        <w:jc w:val="left"/>
        <w:rPr>
          <w:rFonts w:ascii="Carlito" w:hAnsi="Carlito"/>
        </w:rPr>
      </w:pPr>
      <w:r>
        <w:rPr>
          <w:rFonts w:ascii="Carlito" w:hAnsi="Carlito"/>
        </w:rPr>
        <w:t>c</w:t>
      </w:r>
      <w:r>
        <w:rPr>
          <w:rFonts w:ascii="Carlito" w:hAnsi="Carlito"/>
        </w:rPr>
        <w:t>ontinuare a informar</w:t>
      </w:r>
      <w:r>
        <w:rPr>
          <w:rFonts w:ascii="Carlito" w:hAnsi="Carlito"/>
        </w:rPr>
        <w:t>s</w:t>
      </w:r>
      <w:r>
        <w:rPr>
          <w:rFonts w:ascii="Carlito" w:hAnsi="Carlito"/>
        </w:rPr>
        <w:t xml:space="preserve">i, </w:t>
      </w:r>
      <w:r>
        <w:rPr>
          <w:rFonts w:ascii="Carlito" w:hAnsi="Carlito"/>
        </w:rPr>
        <w:t>formarsi,</w:t>
      </w:r>
      <w:r>
        <w:rPr>
          <w:rFonts w:ascii="Carlito" w:hAnsi="Carlito"/>
        </w:rPr>
        <w:t xml:space="preserve"> sensibilizzare e mobilitarci per la giustizia e la pace nella terra di Palestina e Israele, riconoscendo e sostenendo i diritti del popolo palestinese all'autodeterminazione, alla libertà, alla dignità e alla giustizia.</w:t>
      </w:r>
    </w:p>
    <w:p>
      <w:pPr>
        <w:pStyle w:val="BodyText"/>
        <w:bidi w:val="0"/>
        <w:spacing w:lineRule="auto" w:line="360" w:before="0" w:after="227"/>
        <w:ind w:firstLine="227" w:left="0" w:right="0"/>
        <w:jc w:val="left"/>
        <w:rPr>
          <w:rFonts w:ascii="Carlito" w:hAnsi="Carlito"/>
        </w:rPr>
      </w:pPr>
      <w:r>
        <w:rPr>
          <w:rFonts w:ascii="Carlito" w:hAnsi="Carlito"/>
        </w:rPr>
        <w:t xml:space="preserve">Invitiamo </w:t>
      </w:r>
      <w:r>
        <w:rPr>
          <w:rFonts w:ascii="Carlito" w:hAnsi="Carlito"/>
        </w:rPr>
        <w:t xml:space="preserve">gli altri istituti </w:t>
      </w:r>
      <w:r>
        <w:rPr>
          <w:rFonts w:ascii="Carlito" w:hAnsi="Carlito"/>
        </w:rPr>
        <w:t>scolastici, istituzioni</w:t>
      </w:r>
      <w:r>
        <w:rPr>
          <w:rFonts w:ascii="Carlito" w:hAnsi="Carlito"/>
        </w:rPr>
        <w:t>, associazioni, cittadin*</w:t>
      </w:r>
      <w:r>
        <w:rPr>
          <w:rFonts w:ascii="Carlito" w:hAnsi="Carlito"/>
        </w:rPr>
        <w:t xml:space="preserve"> a sostenere </w:t>
      </w:r>
      <w:r>
        <w:rPr>
          <w:rFonts w:ascii="Carlito" w:hAnsi="Carlito"/>
        </w:rPr>
        <w:t xml:space="preserve">e pubblicizzare </w:t>
      </w:r>
      <w:r>
        <w:rPr>
          <w:rFonts w:ascii="Carlito" w:hAnsi="Carlito"/>
        </w:rPr>
        <w:t>questa mozione.</w:t>
      </w:r>
    </w:p>
    <w:p>
      <w:pPr>
        <w:pStyle w:val="BodyText"/>
        <w:bidi w:val="0"/>
        <w:spacing w:lineRule="auto" w:line="360" w:before="0" w:after="227"/>
        <w:ind w:firstLine="227" w:left="0" w:right="0"/>
        <w:jc w:val="left"/>
        <w:rPr>
          <w:rFonts w:ascii="Carlito" w:hAnsi="Carlito"/>
        </w:rPr>
      </w:pPr>
      <w:r>
        <w:rPr>
          <w:rFonts w:ascii="Carlito" w:hAnsi="Carlito"/>
        </w:rPr>
        <w:t>Occorre molto lavoro, ma si può procedere solo attraverso il dialogo, l'educazione e l'azione collettiva. È importante sfidare il razzismo anti-palestinese e sostenere i diritti fondamentali dei palestinesi mentre aspirano alla libertà, alla dignità e all'autodeterminazione.</w:t>
      </w:r>
    </w:p>
    <w:p>
      <w:pPr>
        <w:pStyle w:val="Normal"/>
        <w:bidi w:val="0"/>
        <w:spacing w:lineRule="auto" w:line="360" w:before="0" w:after="227"/>
        <w:ind w:firstLine="680" w:left="0" w:right="0"/>
        <w:jc w:val="left"/>
        <w:rPr>
          <w:rFonts w:ascii="Carlito" w:hAnsi="Carlito"/>
          <w:shd w:fill="auto" w:val="clear"/>
        </w:rPr>
      </w:pPr>
      <w:r>
        <w:rPr>
          <w:rFonts w:ascii="Carlito" w:hAnsi="Carlito"/>
          <w:b w:val="false"/>
          <w:bCs w:val="false"/>
          <w:shd w:fill="auto" w:val="clear"/>
        </w:rPr>
        <w:t>L</w:t>
      </w:r>
      <w:r>
        <w:rPr>
          <w:rFonts w:ascii="Carlito" w:hAnsi="Carlito"/>
          <w:b w:val="false"/>
          <w:bCs w:val="false"/>
          <w:shd w:fill="auto" w:val="clear"/>
        </w:rPr>
        <w:t>’</w:t>
      </w:r>
      <w:r>
        <w:rPr>
          <w:rFonts w:ascii="Carlito" w:hAnsi="Carlito"/>
          <w:b/>
          <w:bCs/>
          <w:i/>
          <w:iCs/>
          <w:shd w:fill="auto" w:val="clear"/>
        </w:rPr>
        <w:t>Assemblea delle lavoratrici e dei lavoratori</w:t>
      </w:r>
      <w:r>
        <w:rPr>
          <w:rFonts w:ascii="Carlito" w:hAnsi="Carlito"/>
          <w:b w:val="false"/>
          <w:bCs w:val="false"/>
          <w:i/>
          <w:iCs/>
          <w:shd w:fill="auto" w:val="clear"/>
        </w:rPr>
        <w:t xml:space="preserve"> </w:t>
      </w:r>
      <w:r>
        <w:rPr>
          <w:rFonts w:ascii="Carlito" w:hAnsi="Carlito"/>
          <w:b/>
          <w:bCs/>
          <w:i/>
          <w:iCs/>
          <w:shd w:fill="auto" w:val="clear"/>
        </w:rPr>
        <w:t>dell’Istituto di Istruzione Superiore Statale “Giovanni Valle”</w:t>
      </w:r>
      <w:r>
        <w:br w:type="page"/>
      </w:r>
    </w:p>
    <w:p>
      <w:pPr>
        <w:pStyle w:val="Normal"/>
        <w:bidi w:val="0"/>
        <w:spacing w:lineRule="auto" w:line="360" w:before="0" w:after="0"/>
        <w:ind w:hanging="0" w:left="0" w:right="0"/>
        <w:jc w:val="left"/>
        <w:rPr>
          <w:b/>
          <w:bCs/>
          <w:i/>
          <w:i/>
          <w:iCs/>
        </w:rPr>
      </w:pPr>
      <w:r>
        <w:rPr>
          <w:rFonts w:ascii="Carlito" w:hAnsi="Carlito"/>
          <w:shd w:fill="auto" w:val="clear"/>
        </w:rPr>
      </w:r>
      <w:r>
        <w:br w:type="page"/>
      </w:r>
    </w:p>
    <w:tbl>
      <w:tblPr>
        <w:tblW w:w="5000" w:type="pct"/>
        <w:jc w:val="left"/>
        <w:tblInd w:w="-5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</w:tblPr>
      <w:tblGrid>
        <w:gridCol w:w="5158"/>
        <w:gridCol w:w="5160"/>
      </w:tblGrid>
      <w:tr>
        <w:trPr/>
        <w:tc>
          <w:tcPr>
            <w:tcW w:w="51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pageBreakBefore/>
              <w:bidi w:val="0"/>
              <w:spacing w:lineRule="auto" w:line="360"/>
              <w:jc w:val="center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Nome e cognome</w:t>
            </w:r>
          </w:p>
        </w:tc>
        <w:tc>
          <w:tcPr>
            <w:tcW w:w="5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center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Firma</w:t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5158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Contenutotabella"/>
              <w:numPr>
                <w:ilvl w:val="0"/>
                <w:numId w:val="7"/>
              </w:numPr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516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Contenutotabella"/>
              <w:bidi w:val="0"/>
              <w:spacing w:lineRule="auto" w:line="360"/>
              <w:jc w:val="left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sz w:val="4"/>
          <w:szCs w:val="4"/>
        </w:rPr>
      </w:pPr>
      <w:r>
        <w:rPr>
          <w:sz w:val="4"/>
          <w:szCs w:val="4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567" w:right="567" w:gutter="454" w:header="567" w:top="1834" w:footer="567" w:bottom="154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default"/>
  </w:font>
  <w:font w:name="Carlito">
    <w:altName w:val="Calibri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>
        <w:rFonts w:ascii="Carlito" w:hAnsi="Carlito"/>
        <w:color w:val="666666"/>
      </w:rPr>
    </w:pPr>
    <w:r>
      <w:rPr>
        <w:rFonts w:ascii="Carlito" w:hAnsi="Carlito"/>
        <w:color w:val="666666"/>
      </w:rPr>
      <w:fldChar w:fldCharType="begin"/>
    </w:r>
    <w:r>
      <w:rPr>
        <w:rFonts w:ascii="Carlito" w:hAnsi="Carlito"/>
        <w:color w:val="666666"/>
      </w:rPr>
      <w:instrText xml:space="preserve"> PAGE </w:instrText>
    </w:r>
    <w:r>
      <w:rPr>
        <w:rFonts w:ascii="Carlito" w:hAnsi="Carlito"/>
        <w:color w:val="666666"/>
      </w:rPr>
      <w:fldChar w:fldCharType="separate"/>
    </w:r>
    <w:r>
      <w:rPr>
        <w:rFonts w:ascii="Carlito" w:hAnsi="Carlito"/>
        <w:color w:val="666666"/>
      </w:rPr>
      <w:t>10</w:t>
    </w:r>
    <w:r>
      <w:rPr>
        <w:rFonts w:ascii="Carlito" w:hAnsi="Carlito"/>
        <w:color w:val="666666"/>
      </w:rPr>
      <w:fldChar w:fldCharType="end"/>
    </w:r>
    <w:r>
      <w:rPr>
        <w:rFonts w:ascii="Carlito" w:hAnsi="Carlito"/>
        <w:color w:val="666666"/>
      </w:rPr>
      <w:t xml:space="preserve"> </w:t>
    </w:r>
    <w:r>
      <w:rPr>
        <w:rFonts w:ascii="Carlito" w:hAnsi="Carlito"/>
        <w:color w:val="666666"/>
      </w:rPr>
      <w:t xml:space="preserve">di </w:t>
    </w:r>
    <w:r>
      <w:rPr>
        <w:rFonts w:ascii="Carlito" w:hAnsi="Carlito"/>
        <w:color w:val="666666"/>
      </w:rPr>
      <w:fldChar w:fldCharType="begin"/>
    </w:r>
    <w:r>
      <w:rPr>
        <w:rFonts w:ascii="Carlito" w:hAnsi="Carlito"/>
        <w:color w:val="666666"/>
      </w:rPr>
      <w:instrText xml:space="preserve"> NUMPAGES </w:instrText>
    </w:r>
    <w:r>
      <w:rPr>
        <w:rFonts w:ascii="Carlito" w:hAnsi="Carlito"/>
        <w:color w:val="666666"/>
      </w:rPr>
      <w:fldChar w:fldCharType="separate"/>
    </w:r>
    <w:r>
      <w:rPr>
        <w:rFonts w:ascii="Carlito" w:hAnsi="Carlito"/>
        <w:color w:val="666666"/>
      </w:rPr>
      <w:t>10</w:t>
    </w:r>
    <w:r>
      <w:rPr>
        <w:rFonts w:ascii="Carlito" w:hAnsi="Carlito"/>
        <w:color w:val="666666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7"/>
        </w:rPr>
      </w:pPr>
      <w:r>
        <w:separator/>
      </w:r>
    </w:p>
  </w:footnote>
  <w:footnote w:id="1" w:type="continuationSeparator">
    <w:p>
      <w:pPr>
        <w:rPr>
          <w:sz w:val="17"/>
        </w:rPr>
      </w:pPr>
      <w:r>
        <w:continuationSeparator/>
      </w:r>
    </w:p>
  </w:footnote>
  <w:footnote w:id="2">
    <w:p>
      <w:pPr>
        <w:pStyle w:val="FootnoteText"/>
        <w:suppressLineNumbers/>
        <w:bidi w:val="0"/>
        <w:ind w:hanging="340" w:left="340"/>
        <w:jc w:val="left"/>
        <w:rPr/>
      </w:pPr>
      <w:r>
        <w:rPr>
          <w:rStyle w:val="Caratterinotaapidipagina"/>
        </w:rPr>
        <w:footnoteRef/>
      </w:r>
      <w:hyperlink r:id="rId1">
        <w:r>
          <w:rPr>
            <w:rStyle w:val="Hyperlink"/>
            <w:rFonts w:ascii="Carlito" w:hAnsi="Carlito"/>
          </w:rPr>
          <w:tab/>
          <w:t>https://www.ohchr.org/en/special-procedures/sr-palestine</w:t>
        </w:r>
      </w:hyperlink>
    </w:p>
    <w:p>
      <w:pPr>
        <w:pStyle w:val="FootnoteText"/>
        <w:suppressLineNumbers/>
        <w:bidi w:val="0"/>
        <w:ind w:hanging="340" w:left="340"/>
        <w:jc w:val="left"/>
        <w:rPr/>
      </w:pPr>
      <w:r>
        <w:rPr>
          <w:rFonts w:ascii="Carlito" w:hAnsi="Carlito"/>
        </w:rPr>
        <w:tab/>
      </w:r>
      <w:hyperlink r:id="rId2">
        <w:r>
          <w:rPr>
            <w:rStyle w:val="Hyperlink"/>
            <w:rFonts w:ascii="Carlito" w:hAnsi="Carlito"/>
          </w:rPr>
          <w:t>https://www.assopacepalestina.org/2023/03/28/rapporto-preliminare-della-relatrice-speciale-onu-francesca-albanese-sulla-sua-non-visita-nei-territori-palestinesi-occupati/</w:t>
        </w:r>
      </w:hyperlink>
    </w:p>
    <w:p>
      <w:pPr>
        <w:pStyle w:val="FootnoteText"/>
        <w:suppressLineNumbers/>
        <w:bidi w:val="0"/>
        <w:ind w:hanging="340" w:left="340"/>
        <w:jc w:val="left"/>
        <w:rPr/>
      </w:pPr>
      <w:r>
        <w:rPr>
          <w:rFonts w:ascii="Carlito" w:hAnsi="Carlito"/>
        </w:rPr>
        <w:tab/>
      </w:r>
      <w:hyperlink r:id="rId3">
        <w:r>
          <w:rPr>
            <w:rStyle w:val="Hyperlink"/>
            <w:rFonts w:ascii="Carlito" w:hAnsi="Carlito"/>
          </w:rPr>
          <w:t>https://unric.org/it/dichiarazione-di-francesca-albanese-relatorice-speciale-sulla-situazione-dei-diritti-umani-nei-territori-palestinesi-occupati-dal-1967-rilasciata-alla-78a-sessione-dellassemblea-generale/</w:t>
        </w:r>
      </w:hyperlink>
    </w:p>
  </w:footnote>
  <w:footnote w:id="3">
    <w:p>
      <w:pPr>
        <w:pStyle w:val="FootnoteText"/>
        <w:suppressLineNumbers/>
        <w:bidi w:val="0"/>
        <w:ind w:hanging="340" w:left="340"/>
        <w:jc w:val="left"/>
        <w:rPr/>
      </w:pPr>
      <w:r>
        <w:rPr>
          <w:rStyle w:val="Caratterinotaapidipagina"/>
        </w:rPr>
        <w:footnoteRef/>
      </w:r>
      <w:hyperlink r:id="rId4">
        <w:r>
          <w:rPr>
            <w:rStyle w:val="Hyperlink"/>
            <w:rFonts w:ascii="Carlito" w:hAnsi="Carlito"/>
          </w:rPr>
          <w:tab/>
          <w:t>https://unric.org/it/antonio-guterres-ricorre-a-un-articolo-dello-statuto-onu-raramente-usato-pe-sollecitare-il-consiglio-di-sicurezza-ad-agire-sulla-crisi-israelo-palestinese/</w:t>
        </w:r>
      </w:hyperlink>
    </w:p>
  </w:footnote>
  <w:footnote w:id="4">
    <w:p>
      <w:pPr>
        <w:pStyle w:val="FootnoteText"/>
        <w:bidi w:val="0"/>
        <w:jc w:val="left"/>
        <w:rPr/>
      </w:pPr>
      <w:r>
        <w:rPr>
          <w:rStyle w:val="Caratterinotaapidipagina"/>
        </w:rPr>
        <w:footnoteRef/>
      </w:r>
      <w:r>
        <w:rPr>
          <w:rFonts w:ascii="Carlito" w:hAnsi="Carlito"/>
        </w:rPr>
        <w:tab/>
        <w:t xml:space="preserve">Come per altro già fatto da altre istituzioni, a titolo di esempio vedi </w:t>
      </w:r>
      <w:hyperlink r:id="rId5">
        <w:r>
          <w:rPr>
            <w:rStyle w:val="Hyperlink"/>
            <w:rFonts w:ascii="Carlito" w:hAnsi="Carlito"/>
          </w:rPr>
          <w:t>https://normalenews.sns.it/index.php/mozione-per-il-cessate-il-fuoco-e-la-pace-in-palestina-ed-israele</w:t>
        </w:r>
      </w:hyperlink>
    </w:p>
  </w:footnote>
  <w:footnote w:id="5">
    <w:p>
      <w:pPr>
        <w:pStyle w:val="FootnoteText"/>
        <w:suppressLineNumbers/>
        <w:bidi w:val="0"/>
        <w:ind w:hanging="340" w:left="340"/>
        <w:jc w:val="left"/>
        <w:rPr/>
      </w:pPr>
      <w:r>
        <w:rPr>
          <w:rStyle w:val="Caratterinotaapidipagina"/>
        </w:rPr>
        <w:footnoteRef/>
      </w:r>
      <w:hyperlink r:id="rId6">
        <w:r>
          <w:rPr>
            <w:rStyle w:val="Hyperlink"/>
            <w:rFonts w:ascii="Carlito" w:hAnsi="Carlito"/>
          </w:rPr>
          <w:tab/>
          <w:t>https://www.lindipendente.online/2023/10/31/con-la-spesa-critica-si-puo-colpire-loccupazione-israeliana-i-marchi-da-boicottare/</w:t>
        </w:r>
      </w:hyperlink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center"/>
      <w:rPr>
        <w:rFonts w:ascii="Carlito" w:hAnsi="Carlito"/>
        <w:b/>
        <w:bCs/>
        <w:color w:val="808080"/>
      </w:rPr>
    </w:pPr>
    <w:r>
      <w:rPr>
        <w:rFonts w:ascii="Carlito" w:hAnsi="Carlito"/>
        <w:b/>
        <w:bCs/>
        <w:color w:val="808080"/>
      </w:rPr>
      <w:t xml:space="preserve">Mozione dell’Assemblea delle lavoratrici e dei lavoratori dell’Istituto di Istruzione Superiore Statale “Giovanni Valle”, Padova, </w:t>
    </w:r>
    <w:r>
      <w:rPr>
        <w:rFonts w:ascii="Carlito" w:hAnsi="Carlito"/>
        <w:b/>
        <w:bCs/>
        <w:color w:val="808080"/>
      </w:rPr>
      <w:t>8 febbraio</w:t>
    </w:r>
    <w:r>
      <w:rPr>
        <w:rFonts w:ascii="Carlito" w:hAnsi="Carlito"/>
        <w:b/>
        <w:bCs/>
        <w:color w:val="808080"/>
      </w:rPr>
      <w:t xml:space="preserve"> 202</w:t>
    </w:r>
    <w:r>
      <w:rPr>
        <w:rFonts w:ascii="Carlito" w:hAnsi="Carlito"/>
        <w:b/>
        <w:bCs/>
        <w:color w:val="808080"/>
      </w:rPr>
      <w:t>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suff w:val="space"/>
      <w:lvlText w:val="(%1)"/>
      <w:lvlJc w:val="left"/>
      <w:pPr>
        <w:tabs>
          <w:tab w:val="num" w:pos="0"/>
        </w:tabs>
        <w:ind w:left="454" w:hanging="454"/>
      </w:pPr>
      <w:rPr/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60"/>
  <w:defaultTabStop w:val="68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Noto Sans Devanagari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erif CJK SC" w:cs="Noto Sans Devanagari"/>
      <w:color w:val="auto"/>
      <w:kern w:val="2"/>
      <w:sz w:val="24"/>
      <w:szCs w:val="24"/>
      <w:lang w:val="it-IT" w:eastAsia="zh-CN" w:bidi="hi-IN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notaapidipagina">
    <w:name w:val="Caratteri nota a piè di pagina"/>
    <w:qFormat/>
    <w:rPr/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styleId="EndnoteReference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Arial" w:hAnsi="Arial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68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Intestazioneepidipagina"/>
    <w:pPr>
      <w:suppressLineNumbers/>
    </w:pPr>
    <w:rPr/>
  </w:style>
  <w:style w:type="paragraph" w:styleId="FootnoteText">
    <w:name w:val="Footnote Text"/>
    <w:basedOn w:val="Normal"/>
    <w:pPr>
      <w:suppressLineNumbers/>
      <w:ind w:hanging="340" w:left="340"/>
    </w:pPr>
    <w:rPr>
      <w:sz w:val="20"/>
      <w:szCs w:val="20"/>
    </w:rPr>
  </w:style>
  <w:style w:type="paragraph" w:styleId="Footer">
    <w:name w:val="Footer"/>
    <w:basedOn w:val="Intestazioneepidipagina"/>
    <w:pPr>
      <w:suppressLineNumbers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ohchr.org/en/special-procedures/sr-palestine" TargetMode="External"/><Relationship Id="rId2" Type="http://schemas.openxmlformats.org/officeDocument/2006/relationships/hyperlink" Target="https://www.assopacepalestina.org/2023/03/28/rapporto-preliminare-della-relatrice-speciale-onu-francesca-albanese-sulla-sua-non-visita-nei-territori-palestinesi-occupati/" TargetMode="External"/><Relationship Id="rId3" Type="http://schemas.openxmlformats.org/officeDocument/2006/relationships/hyperlink" Target="https://unric.org/it/dichiarazione-di-francesca-albanese-relatorice-speciale-sulla-situazione-dei-diritti-umani-nei-territori-palestinesi-occupati-dal-1967-rilasciata-alla-78a-sessione-dellassemblea-generale/" TargetMode="External"/><Relationship Id="rId4" Type="http://schemas.openxmlformats.org/officeDocument/2006/relationships/hyperlink" Target="https://unric.org/it/antonio-guterres-ricorre-a-un-articolo-dello-statuto-onu-raramente-usato-pe-sollecitare-il-consiglio-di-sicurezza-ad-agire-sulla-crisi-israelo-palestinese/" TargetMode="External"/><Relationship Id="rId5" Type="http://schemas.openxmlformats.org/officeDocument/2006/relationships/hyperlink" Target="https://normalenews.sns.it/index.php/mozione-per-il-cessate-il-fuoco-e-la-pace-in-palestina-ed-israele" TargetMode="External"/><Relationship Id="rId6" Type="http://schemas.openxmlformats.org/officeDocument/2006/relationships/hyperlink" Target="https://www.lindipendente.online/2023/10/31/con-la-spesa-critica-si-puo-colpire-loccupazione-israeliana-i-marchi-da-boicottare/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LibreOffice/7.6.4.1$Linux_X86_64 LibreOffice_project/60$Build-1</Application>
  <AppVersion>15.0000</AppVersion>
  <Pages>10</Pages>
  <Words>749</Words>
  <Characters>5131</Characters>
  <CharactersWithSpaces>5729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2024-01-03T13:39:23Z</dcterms:created>
  <dc:creator>Gianluca Maestra</dc:creator>
  <dc:description/>
  <dc:language>it-IT</dc:language>
  <cp:lastModifiedBy>Gianluca Maestra</cp:lastModifiedBy>
  <cp:lastPrinted>2024-01-04T12:54:04Z</cp:lastPrinted>
  <dcterms:modified xsi:type="dcterms:W3CDTF">2024-02-09T06:16:49Z</dcterms:modified>
  <cp:revision>6</cp:revision>
  <dc:subject/>
  <dc:title/>
</cp:coreProperties>
</file>