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C46999" w:rsidRDefault="00265B1E">
      <w:r w:rsidRPr="006660A9">
        <w:t>Pubblicato</w:t>
      </w:r>
      <w:r w:rsidR="00F90B34" w:rsidRPr="006660A9">
        <w:t xml:space="preserve"> all’albo dal </w:t>
      </w:r>
      <w:r w:rsidR="00C46999" w:rsidRPr="00C46999">
        <w:t>2</w:t>
      </w:r>
      <w:r w:rsidR="00C26D26">
        <w:t>8</w:t>
      </w:r>
      <w:r w:rsidR="00C83017" w:rsidRPr="00C46999">
        <w:t xml:space="preserve">/02/2019 al </w:t>
      </w:r>
      <w:r w:rsidR="00C46999" w:rsidRPr="00C46999">
        <w:t>14</w:t>
      </w:r>
      <w:r w:rsidR="00201E64" w:rsidRPr="00C46999">
        <w:t>/03/2019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2B6236">
      <w:pPr>
        <w:rPr>
          <w:sz w:val="16"/>
        </w:rPr>
      </w:pPr>
      <w:r>
        <w:rPr>
          <w:sz w:val="16"/>
        </w:rPr>
        <w:t>Verbale deliberazione/ab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7A773B">
        <w:t>3</w:t>
      </w:r>
      <w:r w:rsidR="00DF54C4">
        <w:t>2</w:t>
      </w:r>
      <w:r w:rsidR="007D645C">
        <w:t xml:space="preserve"> </w:t>
      </w:r>
      <w:r w:rsidR="00B22606">
        <w:t xml:space="preserve">del </w:t>
      </w:r>
      <w:r w:rsidR="001040B9">
        <w:t>07</w:t>
      </w:r>
      <w:r w:rsidR="002D432A">
        <w:t>/</w:t>
      </w:r>
      <w:r w:rsidR="001040B9">
        <w:t>02/2019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201E64" w:rsidRDefault="00F90B34" w:rsidP="00DD52B9">
      <w:pPr>
        <w:ind w:right="-143"/>
        <w:jc w:val="both"/>
      </w:pPr>
      <w:r w:rsidRPr="00F94A90">
        <w:rPr>
          <w:sz w:val="24"/>
          <w:szCs w:val="24"/>
        </w:rPr>
        <w:t>OGGETTO:</w:t>
      </w:r>
      <w:r w:rsidR="00DD57F6">
        <w:rPr>
          <w:sz w:val="24"/>
          <w:szCs w:val="24"/>
        </w:rPr>
        <w:t xml:space="preserve"> </w:t>
      </w:r>
      <w:r w:rsidR="00131BBA" w:rsidRPr="00F94A90">
        <w:rPr>
          <w:sz w:val="24"/>
          <w:szCs w:val="24"/>
        </w:rPr>
        <w:t xml:space="preserve"> </w:t>
      </w:r>
      <w:r w:rsidR="00DF54C4">
        <w:rPr>
          <w:sz w:val="28"/>
          <w:szCs w:val="28"/>
        </w:rPr>
        <w:t>Limiti per l’affidamento di contratti pubblici di importo inferiore alle soglie di rilevanza comunitaria concernenti lavori, servizi e forniture al D.</w:t>
      </w:r>
      <w:r w:rsidR="0012656D">
        <w:rPr>
          <w:sz w:val="28"/>
          <w:szCs w:val="28"/>
        </w:rPr>
        <w:t xml:space="preserve"> </w:t>
      </w:r>
      <w:r w:rsidR="00DF54C4">
        <w:rPr>
          <w:sz w:val="28"/>
          <w:szCs w:val="28"/>
        </w:rPr>
        <w:t xml:space="preserve">S. per affidamento di importo superiore a euro 10.000,00 e inferiore a Euro 40.000,00 (art. 45, comma 2, lettera </w:t>
      </w:r>
      <w:r w:rsidR="00DF54C4" w:rsidRPr="00DF54C4">
        <w:rPr>
          <w:i/>
          <w:sz w:val="28"/>
          <w:szCs w:val="28"/>
        </w:rPr>
        <w:t>a</w:t>
      </w:r>
      <w:r w:rsidR="00DF54C4">
        <w:rPr>
          <w:i/>
          <w:sz w:val="28"/>
          <w:szCs w:val="28"/>
        </w:rPr>
        <w:t xml:space="preserve">, </w:t>
      </w:r>
      <w:r w:rsidR="00DF54C4" w:rsidRPr="00DF54C4">
        <w:rPr>
          <w:sz w:val="28"/>
          <w:szCs w:val="28"/>
        </w:rPr>
        <w:t>Decreto</w:t>
      </w:r>
      <w:r w:rsidR="00DF54C4">
        <w:rPr>
          <w:sz w:val="28"/>
          <w:szCs w:val="28"/>
        </w:rPr>
        <w:t xml:space="preserve"> I. 129/2018)</w:t>
      </w:r>
    </w:p>
    <w:p w:rsidR="001F21C5" w:rsidRPr="00DD57F6" w:rsidRDefault="00F90B34">
      <w:pPr>
        <w:jc w:val="both"/>
        <w:rPr>
          <w:b/>
        </w:rPr>
      </w:pPr>
      <w:r>
        <w:t xml:space="preserve">        </w:t>
      </w:r>
      <w:r w:rsidR="00DD57F6">
        <w:tab/>
      </w:r>
      <w:r w:rsidR="00DD57F6">
        <w:tab/>
      </w:r>
    </w:p>
    <w:p w:rsidR="00F90B34" w:rsidRDefault="00F90B34">
      <w:pPr>
        <w:jc w:val="both"/>
        <w:rPr>
          <w:sz w:val="24"/>
        </w:rPr>
      </w:pP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9751C0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9751C0">
        <w:rPr>
          <w:b/>
          <w:sz w:val="24"/>
        </w:rPr>
        <w:t>7</w:t>
      </w:r>
      <w:r w:rsidR="00DC0D7E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9751C0">
        <w:rPr>
          <w:b/>
          <w:sz w:val="24"/>
        </w:rPr>
        <w:t xml:space="preserve">febbraio 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>Prot. n°</w:t>
      </w:r>
      <w:r w:rsidR="009751C0">
        <w:rPr>
          <w:sz w:val="24"/>
        </w:rPr>
        <w:t>436</w:t>
      </w:r>
      <w:r w:rsidR="002D432A">
        <w:rPr>
          <w:sz w:val="24"/>
        </w:rPr>
        <w:t>/</w:t>
      </w:r>
      <w:r w:rsidR="009751C0">
        <w:rPr>
          <w:sz w:val="24"/>
        </w:rPr>
        <w:t>E20</w:t>
      </w:r>
      <w:r w:rsidR="002D432A">
        <w:rPr>
          <w:sz w:val="24"/>
        </w:rPr>
        <w:t xml:space="preserve"> del </w:t>
      </w:r>
      <w:r w:rsidR="009751C0">
        <w:rPr>
          <w:sz w:val="24"/>
        </w:rPr>
        <w:t>01</w:t>
      </w:r>
      <w:r w:rsidR="0001553F">
        <w:rPr>
          <w:sz w:val="24"/>
        </w:rPr>
        <w:t>/</w:t>
      </w:r>
      <w:r w:rsidR="009751C0">
        <w:rPr>
          <w:sz w:val="24"/>
        </w:rPr>
        <w:t>02</w:t>
      </w:r>
      <w:r w:rsidR="0001553F">
        <w:rPr>
          <w:sz w:val="24"/>
        </w:rPr>
        <w:t>/</w:t>
      </w:r>
      <w:r w:rsidR="009751C0">
        <w:rPr>
          <w:sz w:val="24"/>
        </w:rPr>
        <w:t>19</w:t>
      </w:r>
      <w:r w:rsidR="0054544F">
        <w:rPr>
          <w:sz w:val="24"/>
        </w:rPr>
        <w:t xml:space="preserve">, </w:t>
      </w:r>
      <w:r>
        <w:rPr>
          <w:sz w:val="24"/>
        </w:rPr>
        <w:t xml:space="preserve">nei locali della Direzione Didattica di San Giustino, si è riunito </w:t>
      </w:r>
      <w:r w:rsidR="00AE7520">
        <w:rPr>
          <w:sz w:val="24"/>
        </w:rPr>
        <w:t xml:space="preserve">in seduta straordinaria </w:t>
      </w:r>
      <w:r>
        <w:rPr>
          <w:sz w:val="24"/>
        </w:rPr>
        <w:t>il Consiglio di Circolo, presenti i componenti Sigg.:</w:t>
      </w: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F05BD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01553F">
            <w:pPr>
              <w:jc w:val="center"/>
              <w:rPr>
                <w:sz w:val="24"/>
              </w:rPr>
            </w:pPr>
            <w:r w:rsidRPr="006F5A69"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25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9751C0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97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F0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7E1CB0">
        <w:trPr>
          <w:cantSplit/>
        </w:trPr>
        <w:tc>
          <w:tcPr>
            <w:tcW w:w="1605" w:type="dxa"/>
          </w:tcPr>
          <w:p w:rsidR="007E1CB0" w:rsidRDefault="007E1CB0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Francioni</w:t>
            </w:r>
            <w:proofErr w:type="spellEnd"/>
          </w:p>
        </w:tc>
        <w:tc>
          <w:tcPr>
            <w:tcW w:w="1867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3472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E1CB0" w:rsidRDefault="007E1CB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9751C0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D834F0">
        <w:rPr>
          <w:sz w:val="24"/>
          <w:szCs w:val="24"/>
        </w:rPr>
        <w:t xml:space="preserve"> S</w:t>
      </w:r>
      <w:r w:rsidR="00265B1E">
        <w:rPr>
          <w:sz w:val="24"/>
          <w:szCs w:val="24"/>
        </w:rPr>
        <w:t xml:space="preserve">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</w:t>
      </w:r>
      <w:proofErr w:type="spellStart"/>
      <w:r w:rsidR="00850676">
        <w:rPr>
          <w:sz w:val="24"/>
          <w:szCs w:val="24"/>
        </w:rPr>
        <w:t>D.S.G.A.</w:t>
      </w:r>
      <w:proofErr w:type="spellEnd"/>
      <w:r w:rsidR="00850676">
        <w:rPr>
          <w:sz w:val="24"/>
          <w:szCs w:val="24"/>
        </w:rPr>
        <w:t xml:space="preserve"> </w:t>
      </w:r>
      <w:r w:rsidR="00201E64">
        <w:rPr>
          <w:sz w:val="24"/>
          <w:szCs w:val="24"/>
        </w:rPr>
        <w:t>S</w:t>
      </w:r>
      <w:r w:rsidR="00850676">
        <w:rPr>
          <w:sz w:val="24"/>
          <w:szCs w:val="24"/>
        </w:rPr>
        <w:t xml:space="preserve">ig.ra Loretta </w:t>
      </w:r>
      <w:proofErr w:type="spellStart"/>
      <w:r w:rsidR="00850676">
        <w:rPr>
          <w:sz w:val="24"/>
          <w:szCs w:val="24"/>
        </w:rPr>
        <w:t>Mambrini</w:t>
      </w:r>
      <w:proofErr w:type="spellEnd"/>
      <w:r w:rsidR="00850676">
        <w:rPr>
          <w:sz w:val="24"/>
          <w:szCs w:val="24"/>
        </w:rPr>
        <w:t xml:space="preserve">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F0F61" w:rsidRDefault="00BA5C9B" w:rsidP="00DB7C97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Constatata la validità per l’intervento del numero legale dei convenuti il Presidente dichiara aperta la seduta per la trattazione degli </w:t>
      </w:r>
      <w:r w:rsidR="00516131">
        <w:rPr>
          <w:sz w:val="24"/>
          <w:szCs w:val="24"/>
        </w:rPr>
        <w:t>argomenti all’ordine del giorno</w:t>
      </w:r>
      <w:r w:rsidR="00DB7C97">
        <w:rPr>
          <w:sz w:val="24"/>
          <w:szCs w:val="24"/>
        </w:rPr>
        <w:t>.</w:t>
      </w:r>
      <w:r w:rsidR="00516131">
        <w:rPr>
          <w:sz w:val="24"/>
          <w:szCs w:val="24"/>
        </w:rPr>
        <w:t xml:space="preserve"> </w:t>
      </w:r>
    </w:p>
    <w:p w:rsidR="001B3894" w:rsidRDefault="001B3894" w:rsidP="001B3894"/>
    <w:p w:rsidR="001B3894" w:rsidRDefault="001B3894" w:rsidP="001B3894"/>
    <w:p w:rsidR="001B3894" w:rsidRDefault="001B3894" w:rsidP="001B3894"/>
    <w:p w:rsidR="00D1039A" w:rsidRDefault="00D1039A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244D50" w:rsidRDefault="00244D50" w:rsidP="00003924">
      <w:pPr>
        <w:pStyle w:val="Titolo2"/>
        <w:ind w:left="2832" w:firstLine="708"/>
        <w:jc w:val="left"/>
        <w:rPr>
          <w:b/>
        </w:rPr>
      </w:pPr>
    </w:p>
    <w:p w:rsidR="00003924" w:rsidRDefault="00003924" w:rsidP="00003924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CIRCOLO</w:t>
      </w:r>
    </w:p>
    <w:p w:rsidR="001932BC" w:rsidRPr="001932BC" w:rsidRDefault="001932BC" w:rsidP="001932BC"/>
    <w:p w:rsidR="00AF1E3D" w:rsidRDefault="0012656D" w:rsidP="00AF1E3D">
      <w:pPr>
        <w:tabs>
          <w:tab w:val="left" w:pos="1500"/>
        </w:tabs>
        <w:jc w:val="both"/>
        <w:rPr>
          <w:sz w:val="24"/>
          <w:szCs w:val="24"/>
        </w:rPr>
      </w:pPr>
      <w:r w:rsidRPr="0012656D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</w:t>
      </w:r>
      <w:r w:rsidRPr="001901EE">
        <w:rPr>
          <w:sz w:val="24"/>
          <w:szCs w:val="24"/>
        </w:rPr>
        <w:t xml:space="preserve">DS </w:t>
      </w:r>
      <w:r>
        <w:rPr>
          <w:sz w:val="24"/>
          <w:szCs w:val="24"/>
        </w:rPr>
        <w:t xml:space="preserve">che </w:t>
      </w:r>
      <w:r w:rsidRPr="001901EE">
        <w:rPr>
          <w:sz w:val="24"/>
          <w:szCs w:val="24"/>
        </w:rPr>
        <w:t xml:space="preserve">riferisce </w:t>
      </w:r>
      <w:r>
        <w:rPr>
          <w:sz w:val="24"/>
          <w:szCs w:val="24"/>
        </w:rPr>
        <w:t xml:space="preserve">che recentemente si è tenuto un incontro ad Assisi tra i Dirigenti dell’Umbria </w:t>
      </w:r>
    </w:p>
    <w:p w:rsidR="0012656D" w:rsidRDefault="0012656D" w:rsidP="00AF1E3D">
      <w:pPr>
        <w:tabs>
          <w:tab w:val="left" w:pos="150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 i Sindacati di categoria. In tale occasione è stata DELIBERATA la procedura per l’acquisizione dei servizi, forniture e lavori con affidamento diretto del Dirigente Scolastico per importi superiori a euro 10.000,00 ed  inferiori ad euro 40.000, 00.</w:t>
      </w:r>
    </w:p>
    <w:p w:rsidR="00AF1E3D" w:rsidRDefault="0012656D" w:rsidP="00AF1E3D">
      <w:pPr>
        <w:tabs>
          <w:tab w:val="left" w:pos="1500"/>
        </w:tabs>
        <w:jc w:val="both"/>
        <w:rPr>
          <w:sz w:val="24"/>
          <w:szCs w:val="24"/>
        </w:rPr>
      </w:pPr>
      <w:r w:rsidRPr="0012656D">
        <w:rPr>
          <w:b/>
          <w:sz w:val="24"/>
          <w:szCs w:val="24"/>
        </w:rPr>
        <w:t>SENTITA</w:t>
      </w:r>
      <w:r>
        <w:rPr>
          <w:sz w:val="24"/>
          <w:szCs w:val="24"/>
        </w:rPr>
        <w:t xml:space="preserve"> la proposta del consigliere Silvia Dini di effettuare la consultazione  di 2/3 operatori economici </w:t>
      </w:r>
    </w:p>
    <w:p w:rsidR="0012656D" w:rsidRDefault="0012656D" w:rsidP="00AF1E3D">
      <w:pPr>
        <w:tabs>
          <w:tab w:val="left" w:pos="1500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per importi superiori ad euro 5.000,00.</w:t>
      </w:r>
    </w:p>
    <w:p w:rsidR="0012656D" w:rsidRPr="0064785B" w:rsidRDefault="0012656D" w:rsidP="00AF1E3D">
      <w:pPr>
        <w:tabs>
          <w:tab w:val="left" w:pos="1500"/>
        </w:tabs>
        <w:ind w:left="851" w:hanging="851"/>
        <w:jc w:val="both"/>
        <w:rPr>
          <w:sz w:val="24"/>
          <w:szCs w:val="24"/>
        </w:rPr>
      </w:pPr>
      <w:r w:rsidRPr="0012656D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DS il quale </w:t>
      </w:r>
      <w:r w:rsidRPr="0064785B">
        <w:rPr>
          <w:sz w:val="24"/>
          <w:szCs w:val="24"/>
        </w:rPr>
        <w:t xml:space="preserve"> ricorda che nella seduta del 4 luglio 2017, punto 3 dell’O.d.G. “ </w:t>
      </w:r>
      <w:r w:rsidRPr="0064785B">
        <w:rPr>
          <w:b/>
          <w:sz w:val="24"/>
          <w:szCs w:val="24"/>
        </w:rPr>
        <w:t xml:space="preserve">D.I. n.44/2001- Tit. IV- Capo I-Art.34 (procedura ordinaria di contrattazione) </w:t>
      </w:r>
      <w:proofErr w:type="spellStart"/>
      <w:r w:rsidRPr="0064785B">
        <w:rPr>
          <w:b/>
          <w:sz w:val="24"/>
          <w:szCs w:val="24"/>
        </w:rPr>
        <w:t>C.I</w:t>
      </w:r>
      <w:proofErr w:type="spellEnd"/>
      <w:r w:rsidRPr="0064785B">
        <w:rPr>
          <w:b/>
          <w:sz w:val="24"/>
          <w:szCs w:val="24"/>
        </w:rPr>
        <w:t xml:space="preserve">: elevazione del limite di spesa per acquisti, appalti e forniture” </w:t>
      </w:r>
      <w:r w:rsidRPr="0064785B">
        <w:rPr>
          <w:sz w:val="24"/>
          <w:szCs w:val="24"/>
        </w:rPr>
        <w:t xml:space="preserve">con </w:t>
      </w:r>
      <w:r w:rsidRPr="0064785B">
        <w:rPr>
          <w:b/>
          <w:sz w:val="24"/>
          <w:szCs w:val="24"/>
        </w:rPr>
        <w:t xml:space="preserve"> DELIBERA</w:t>
      </w:r>
      <w:r w:rsidRPr="0064785B">
        <w:rPr>
          <w:sz w:val="24"/>
          <w:szCs w:val="24"/>
        </w:rPr>
        <w:t xml:space="preserve"> </w:t>
      </w:r>
      <w:r w:rsidRPr="0064785B">
        <w:rPr>
          <w:b/>
          <w:sz w:val="24"/>
          <w:szCs w:val="24"/>
        </w:rPr>
        <w:t>n. 36</w:t>
      </w:r>
      <w:r w:rsidRPr="0064785B">
        <w:rPr>
          <w:sz w:val="24"/>
          <w:szCs w:val="24"/>
        </w:rPr>
        <w:t xml:space="preserve">, era stato approvato, all’unanimità, dal Consiglio di Circolo l’elevazione, da parte del Dirigente Scolastico, dell’affidamento diretto di appalti di forniture e servizi nel rispetto delle disposizioni di cui all’art. 34 c.1 del D.I. n. 44/2001 dal limite di euro 2.000,00- fissato a suo tempo dal </w:t>
      </w:r>
      <w:proofErr w:type="spellStart"/>
      <w:r w:rsidRPr="0064785B">
        <w:rPr>
          <w:sz w:val="24"/>
          <w:szCs w:val="24"/>
        </w:rPr>
        <w:t>D.I.-</w:t>
      </w:r>
      <w:proofErr w:type="spellEnd"/>
      <w:r w:rsidRPr="0064785B">
        <w:rPr>
          <w:sz w:val="24"/>
          <w:szCs w:val="24"/>
        </w:rPr>
        <w:t xml:space="preserve"> a euro 10.000,00, così c</w:t>
      </w:r>
      <w:r>
        <w:rPr>
          <w:sz w:val="24"/>
          <w:szCs w:val="24"/>
        </w:rPr>
        <w:t>o</w:t>
      </w:r>
      <w:r w:rsidRPr="0064785B">
        <w:rPr>
          <w:sz w:val="24"/>
          <w:szCs w:val="24"/>
        </w:rPr>
        <w:t>me suggerito dall’Associazione ANQUAP.</w:t>
      </w:r>
    </w:p>
    <w:p w:rsidR="00AF1E3D" w:rsidRDefault="00AF1E3D" w:rsidP="00AF1E3D">
      <w:pPr>
        <w:tabs>
          <w:tab w:val="left" w:pos="1500"/>
        </w:tabs>
        <w:rPr>
          <w:sz w:val="24"/>
          <w:szCs w:val="24"/>
        </w:rPr>
      </w:pPr>
      <w:r w:rsidRPr="00AF1E3D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Consigliere</w:t>
      </w:r>
      <w:r w:rsidR="00126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Silvia Dini che </w:t>
      </w:r>
      <w:r w:rsidR="0012656D">
        <w:rPr>
          <w:sz w:val="24"/>
          <w:szCs w:val="24"/>
        </w:rPr>
        <w:t xml:space="preserve">propone allora di attuare la consultazione per importi compresi tra </w:t>
      </w:r>
    </w:p>
    <w:p w:rsidR="0012656D" w:rsidRDefault="00AF1E3D" w:rsidP="00AF1E3D">
      <w:pPr>
        <w:tabs>
          <w:tab w:val="left" w:pos="150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2656D">
        <w:rPr>
          <w:sz w:val="24"/>
          <w:szCs w:val="24"/>
        </w:rPr>
        <w:t>€ 10.000, 00 e €  40.000,00.</w:t>
      </w:r>
    </w:p>
    <w:p w:rsidR="0012656D" w:rsidRPr="00F6463D" w:rsidRDefault="0012656D" w:rsidP="0012656D">
      <w:pPr>
        <w:ind w:left="851" w:hanging="851"/>
        <w:jc w:val="both"/>
        <w:rPr>
          <w:sz w:val="24"/>
          <w:szCs w:val="24"/>
        </w:rPr>
      </w:pPr>
      <w:r w:rsidRPr="00F6463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ISTO </w:t>
      </w:r>
      <w:r w:rsidRPr="00F6463D">
        <w:rPr>
          <w:sz w:val="24"/>
          <w:szCs w:val="24"/>
        </w:rPr>
        <w:t xml:space="preserve"> il D.I. 28 agosto 2018 n.129, art.45, comma 2, </w:t>
      </w:r>
      <w:proofErr w:type="spellStart"/>
      <w:r w:rsidRPr="00F6463D">
        <w:rPr>
          <w:sz w:val="24"/>
          <w:szCs w:val="24"/>
        </w:rPr>
        <w:t>lett.a</w:t>
      </w:r>
      <w:proofErr w:type="spellEnd"/>
      <w:r w:rsidRPr="00F6463D">
        <w:rPr>
          <w:sz w:val="24"/>
          <w:szCs w:val="24"/>
        </w:rPr>
        <w:t>, che attribuisce al Consiglio di istituto la competenza di adottare, in via preventiva alle procedure di attività negoziale delle Istituzioni scolastiche autonome, la deliberazione relativa alla determinazione dei criteri e dei limiti per lo l’affidamento da parte del dirigente scolastico degli</w:t>
      </w:r>
      <w:r w:rsidRPr="00F6463D">
        <w:rPr>
          <w:b/>
          <w:sz w:val="24"/>
          <w:szCs w:val="24"/>
        </w:rPr>
        <w:t xml:space="preserve"> </w:t>
      </w:r>
      <w:r w:rsidRPr="00F6463D">
        <w:rPr>
          <w:sz w:val="24"/>
          <w:szCs w:val="24"/>
        </w:rPr>
        <w:t>appalti per la fornitura di beni, la prestazione di servizi e l’esecuzione di lavori di importo superiore a 10.000;</w:t>
      </w:r>
    </w:p>
    <w:p w:rsidR="0012656D" w:rsidRPr="00F6463D" w:rsidRDefault="0012656D" w:rsidP="0012656D">
      <w:pPr>
        <w:ind w:left="851" w:hanging="851"/>
        <w:jc w:val="both"/>
        <w:rPr>
          <w:sz w:val="24"/>
          <w:szCs w:val="24"/>
        </w:rPr>
      </w:pPr>
      <w:r w:rsidRPr="00F6463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ISTA</w:t>
      </w:r>
      <w:r w:rsidRPr="00F6463D">
        <w:rPr>
          <w:b/>
          <w:sz w:val="24"/>
          <w:szCs w:val="24"/>
        </w:rPr>
        <w:t xml:space="preserve"> </w:t>
      </w:r>
      <w:r w:rsidRPr="00F6463D">
        <w:rPr>
          <w:sz w:val="24"/>
          <w:szCs w:val="24"/>
        </w:rPr>
        <w:t>la normativa vigente per le stazioni appaltanti pubbliche, D.lgs. 18 aprile 2016 n.50 così come modificato ed integrato dal D.lgs. 19 aprile 2017 n.56,  in materia di affidamenti di lavori, servizi e forniture;</w:t>
      </w:r>
    </w:p>
    <w:p w:rsidR="0012656D" w:rsidRDefault="0012656D" w:rsidP="0012656D">
      <w:pPr>
        <w:ind w:left="851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RITENUTO</w:t>
      </w:r>
      <w:r w:rsidRPr="00F6463D">
        <w:rPr>
          <w:sz w:val="24"/>
          <w:szCs w:val="24"/>
        </w:rPr>
        <w:t xml:space="preserve"> che l’espletamento in via autonoma delle procedure negoziali dell’istituto non possa prescindere dall’ottimizzazione dei tempi e delle risorse  impiegate, nell’ottica della piena attuazione dell’efficacia e dell’economicità dell’azione amministrativa;</w:t>
      </w:r>
    </w:p>
    <w:p w:rsidR="0012656D" w:rsidRPr="00F6463D" w:rsidRDefault="0012656D" w:rsidP="0012656D">
      <w:pPr>
        <w:ind w:left="851" w:hanging="851"/>
        <w:jc w:val="both"/>
        <w:rPr>
          <w:sz w:val="24"/>
          <w:szCs w:val="24"/>
        </w:rPr>
      </w:pPr>
    </w:p>
    <w:p w:rsidR="002D1B86" w:rsidRDefault="0012656D" w:rsidP="0012656D">
      <w:pPr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12656D" w:rsidRPr="00F6463D" w:rsidRDefault="0012656D" w:rsidP="0012656D">
      <w:pPr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656D" w:rsidRPr="00F6463D" w:rsidRDefault="0012656D" w:rsidP="0012656D">
      <w:pPr>
        <w:pStyle w:val="NormaleWeb"/>
        <w:spacing w:before="0" w:beforeAutospacing="0" w:after="0" w:afterAutospacing="0"/>
        <w:jc w:val="both"/>
      </w:pPr>
      <w:r>
        <w:rPr>
          <w:b/>
        </w:rPr>
        <w:t>all’unanimità</w:t>
      </w:r>
      <w:r w:rsidRPr="00F6463D">
        <w:rPr>
          <w:rFonts w:eastAsia="Calibri"/>
        </w:rPr>
        <w:t xml:space="preserve"> che tutte le attività negoziali da espletare in via autonoma  dal Dirigente Scolastico </w:t>
      </w:r>
      <w:r w:rsidRPr="00F6463D">
        <w:t xml:space="preserve">finalizzate all'affidamento di lavori, servizi e forniture </w:t>
      </w:r>
      <w:r w:rsidRPr="00F6463D">
        <w:rPr>
          <w:rFonts w:eastAsia="Calibri"/>
        </w:rPr>
        <w:t xml:space="preserve">per </w:t>
      </w:r>
      <w:r w:rsidRPr="00F6463D">
        <w:t xml:space="preserve">importi sotto la soglia di rilevanza comunitaria prevista per le istituzioni scolastiche, si uniformino nella loro realizzazione </w:t>
      </w:r>
      <w:r w:rsidRPr="00F6463D">
        <w:rPr>
          <w:b/>
        </w:rPr>
        <w:t>al criterio,</w:t>
      </w:r>
      <w:r w:rsidRPr="00F6463D">
        <w:t xml:space="preserve"> univoco, dell’</w:t>
      </w:r>
      <w:r w:rsidRPr="00F6463D">
        <w:rPr>
          <w:rFonts w:eastAsia="Calibri"/>
        </w:rPr>
        <w:t xml:space="preserve">assoluta coerenza e conformità con quanto in materia previsto e regolato dal  D.lgs.18 aprile 2016 n.50, </w:t>
      </w:r>
      <w:r w:rsidRPr="00F6463D">
        <w:t xml:space="preserve">secondo le sotto riportate </w:t>
      </w:r>
      <w:r w:rsidRPr="00F6463D">
        <w:rPr>
          <w:b/>
        </w:rPr>
        <w:t>modalità</w:t>
      </w:r>
      <w:r w:rsidRPr="00F6463D">
        <w:t>:</w:t>
      </w:r>
    </w:p>
    <w:p w:rsidR="0012656D" w:rsidRPr="00F6463D" w:rsidRDefault="00AF1E3D" w:rsidP="0012656D">
      <w:pPr>
        <w:pStyle w:val="NormaleWeb"/>
        <w:spacing w:before="0" w:beforeAutospacing="0" w:after="0" w:afterAutospacing="0"/>
        <w:jc w:val="both"/>
      </w:pPr>
      <w:r>
        <w:t xml:space="preserve">- </w:t>
      </w:r>
      <w:r w:rsidR="0012656D" w:rsidRPr="00F6463D">
        <w:t>acquisizioni di beni e servizi ed esecuzione di lavori di importo inferiore a 10.000 euro, IVA esclusa, mediante affidamento diretto anche senza previa consultazione di due o più operatori economici o per i lavori in amministrazione diretta secondo quanto previsto e regolato dall’ art. 36, comma 2, lett. a);</w:t>
      </w:r>
    </w:p>
    <w:p w:rsidR="0012656D" w:rsidRPr="00F6463D" w:rsidRDefault="0012656D" w:rsidP="0012656D">
      <w:pPr>
        <w:pStyle w:val="NormaleWeb"/>
        <w:spacing w:before="0" w:beforeAutospacing="0" w:after="0" w:afterAutospacing="0"/>
        <w:jc w:val="both"/>
      </w:pPr>
      <w:r w:rsidRPr="00F6463D">
        <w:t> </w:t>
      </w:r>
      <w:r w:rsidR="00AF1E3D">
        <w:t xml:space="preserve"> </w:t>
      </w:r>
      <w:r w:rsidRPr="00F6463D">
        <w:t>- affidamenti di importo pari o superiore a 10.000,00 euro e fino a € 39.999,00, IVA esclusa, mediante affidamento diretto previa indagine di mercato mediante consultazione di duo o più operatori economici;</w:t>
      </w:r>
    </w:p>
    <w:p w:rsidR="0012656D" w:rsidRPr="00F6463D" w:rsidRDefault="0012656D" w:rsidP="0012656D">
      <w:pPr>
        <w:pStyle w:val="NormaleWeb"/>
        <w:spacing w:before="0" w:beforeAutospacing="0" w:after="0" w:afterAutospacing="0"/>
        <w:jc w:val="both"/>
      </w:pPr>
      <w:r w:rsidRPr="00F6463D">
        <w:t xml:space="preserve"> - affidamenti di importo pari o superiore a 40.000 euro, IVA esclusa e inferiore a 150.000,00 euro, IVA esclusa, per i lavori, oppure alla soglia di cui all’art.35, 144.000,00 euro, IVA esclusa, in vigore dal 1° gennaio 2018 e fino al 31 dicembre 2019, per le forniture e i servizi, mediante procedura negoziata previa consultazione, ove esistenti, di almeno dieci operatori economici per i lavori, e, per i servizi e le forniture di almeno cinque operatori economici </w:t>
      </w:r>
      <w:r w:rsidRPr="00F6463D">
        <w:rPr>
          <w:b/>
        </w:rPr>
        <w:t>individuati</w:t>
      </w:r>
      <w:r w:rsidRPr="00F6463D">
        <w:t xml:space="preserve"> sulla base di indagini di mercato o tramite elenchi di operatori economici, nel rispetto di un criterio di rotazione degli inviti, secondo quanto previsto e regolato dall’ </w:t>
      </w:r>
      <w:r w:rsidRPr="00F6463D">
        <w:rPr>
          <w:rFonts w:eastAsia="Calibri"/>
        </w:rPr>
        <w:t xml:space="preserve">art. 36, comma </w:t>
      </w:r>
      <w:r w:rsidRPr="00F6463D">
        <w:t>2, lett. b).</w:t>
      </w:r>
    </w:p>
    <w:p w:rsidR="0012656D" w:rsidRPr="00F6463D" w:rsidRDefault="0012656D" w:rsidP="0012656D">
      <w:pPr>
        <w:pStyle w:val="NormaleWeb"/>
        <w:spacing w:before="0" w:beforeAutospacing="0" w:after="0" w:afterAutospacing="0"/>
        <w:jc w:val="both"/>
      </w:pPr>
    </w:p>
    <w:p w:rsidR="0012656D" w:rsidRPr="00F6463D" w:rsidRDefault="0012656D" w:rsidP="0012656D">
      <w:pPr>
        <w:jc w:val="both"/>
        <w:rPr>
          <w:sz w:val="24"/>
          <w:szCs w:val="24"/>
        </w:rPr>
      </w:pPr>
      <w:r w:rsidRPr="00F6463D">
        <w:rPr>
          <w:sz w:val="24"/>
          <w:szCs w:val="24"/>
        </w:rPr>
        <w:t xml:space="preserve">In considerazione del criterio sopra esposto determina, altresì, di </w:t>
      </w:r>
      <w:r w:rsidRPr="00F6463D">
        <w:rPr>
          <w:b/>
          <w:sz w:val="24"/>
          <w:szCs w:val="24"/>
        </w:rPr>
        <w:t>elevare fino a 39.999,99</w:t>
      </w:r>
      <w:r w:rsidRPr="00F6463D">
        <w:rPr>
          <w:sz w:val="24"/>
          <w:szCs w:val="24"/>
        </w:rPr>
        <w:t xml:space="preserve"> </w:t>
      </w:r>
      <w:r w:rsidRPr="00F6463D">
        <w:rPr>
          <w:b/>
          <w:sz w:val="24"/>
          <w:szCs w:val="24"/>
        </w:rPr>
        <w:t>euro</w:t>
      </w:r>
      <w:r w:rsidRPr="00F6463D">
        <w:rPr>
          <w:sz w:val="24"/>
          <w:szCs w:val="24"/>
        </w:rPr>
        <w:t xml:space="preserve"> </w:t>
      </w:r>
      <w:r w:rsidRPr="00F6463D">
        <w:rPr>
          <w:b/>
          <w:sz w:val="24"/>
          <w:szCs w:val="24"/>
        </w:rPr>
        <w:t>il limite</w:t>
      </w:r>
      <w:r w:rsidRPr="00F6463D">
        <w:rPr>
          <w:sz w:val="24"/>
          <w:szCs w:val="24"/>
        </w:rPr>
        <w:t xml:space="preserve"> di tutte le attività negoziali, necessarie per le procedure relative agli affidamenti di lavori, servizi e forniture da espletarsi in via autonoma dal Dirigente scolastico, ovviamente nei limiti degli impegni di spesa autorizzati con l’approvazione del Programma annuale e successive modifiche.</w:t>
      </w:r>
    </w:p>
    <w:p w:rsidR="0012656D" w:rsidRPr="00F6463D" w:rsidRDefault="0012656D" w:rsidP="0012656D">
      <w:pPr>
        <w:jc w:val="both"/>
        <w:rPr>
          <w:sz w:val="24"/>
          <w:szCs w:val="24"/>
        </w:rPr>
      </w:pPr>
    </w:p>
    <w:p w:rsidR="001932BC" w:rsidRPr="0050217D" w:rsidRDefault="001932BC" w:rsidP="00FD5E6F">
      <w:pPr>
        <w:jc w:val="both"/>
      </w:pPr>
    </w:p>
    <w:p w:rsidR="00FD5E6F" w:rsidRDefault="00FD5E6F" w:rsidP="00FD5E6F">
      <w:pPr>
        <w:jc w:val="center"/>
        <w:rPr>
          <w:b/>
          <w:sz w:val="24"/>
          <w:szCs w:val="24"/>
        </w:rPr>
      </w:pPr>
    </w:p>
    <w:p w:rsidR="007A773B" w:rsidRDefault="007A773B" w:rsidP="00FD5E6F">
      <w:pPr>
        <w:jc w:val="both"/>
        <w:rPr>
          <w:b/>
        </w:rPr>
      </w:pPr>
    </w:p>
    <w:p w:rsidR="007D645C" w:rsidRPr="00FE44E8" w:rsidRDefault="007D645C" w:rsidP="00FD5E6F">
      <w:pPr>
        <w:ind w:left="851"/>
        <w:jc w:val="both"/>
        <w:rPr>
          <w:b/>
          <w:sz w:val="24"/>
          <w:szCs w:val="24"/>
        </w:rPr>
      </w:pPr>
    </w:p>
    <w:p w:rsidR="007A773B" w:rsidRDefault="007A773B" w:rsidP="007A773B">
      <w:pPr>
        <w:jc w:val="both"/>
        <w:rPr>
          <w:b/>
        </w:rPr>
      </w:pPr>
    </w:p>
    <w:p w:rsidR="007A773B" w:rsidRDefault="007A773B" w:rsidP="007A773B">
      <w:pPr>
        <w:jc w:val="both"/>
        <w:rPr>
          <w:b/>
        </w:rPr>
      </w:pPr>
    </w:p>
    <w:p w:rsidR="000C787D" w:rsidRPr="0050217D" w:rsidRDefault="000C787D" w:rsidP="000C787D">
      <w:pPr>
        <w:rPr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7F1CD2" w:rsidRDefault="007F1CD2" w:rsidP="00A147D1">
      <w:pPr>
        <w:tabs>
          <w:tab w:val="left" w:pos="1500"/>
        </w:tabs>
        <w:jc w:val="both"/>
        <w:rPr>
          <w:b/>
          <w:sz w:val="24"/>
          <w:szCs w:val="24"/>
        </w:rPr>
      </w:pPr>
    </w:p>
    <w:sectPr w:rsidR="007F1CD2" w:rsidSect="009C2FEB">
      <w:pgSz w:w="23814" w:h="16840" w:orient="landscape" w:code="8"/>
      <w:pgMar w:top="709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86" w:rsidRDefault="00482886" w:rsidP="00906DC3">
      <w:r>
        <w:separator/>
      </w:r>
    </w:p>
  </w:endnote>
  <w:endnote w:type="continuationSeparator" w:id="0">
    <w:p w:rsidR="00482886" w:rsidRDefault="00482886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86" w:rsidRDefault="00482886" w:rsidP="00906DC3">
      <w:r>
        <w:separator/>
      </w:r>
    </w:p>
  </w:footnote>
  <w:footnote w:type="continuationSeparator" w:id="0">
    <w:p w:rsidR="00482886" w:rsidRDefault="00482886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08CC"/>
    <w:multiLevelType w:val="hybridMultilevel"/>
    <w:tmpl w:val="493E58E6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CFE"/>
    <w:multiLevelType w:val="hybridMultilevel"/>
    <w:tmpl w:val="BD8C5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96"/>
    <w:rsid w:val="000012D3"/>
    <w:rsid w:val="000020C3"/>
    <w:rsid w:val="00003924"/>
    <w:rsid w:val="00007C82"/>
    <w:rsid w:val="000130F0"/>
    <w:rsid w:val="0001425A"/>
    <w:rsid w:val="0001553F"/>
    <w:rsid w:val="000159A2"/>
    <w:rsid w:val="0001761F"/>
    <w:rsid w:val="00030835"/>
    <w:rsid w:val="0004068C"/>
    <w:rsid w:val="000438BE"/>
    <w:rsid w:val="00046C5C"/>
    <w:rsid w:val="0005097E"/>
    <w:rsid w:val="00052EAA"/>
    <w:rsid w:val="000562B7"/>
    <w:rsid w:val="00061782"/>
    <w:rsid w:val="00061C62"/>
    <w:rsid w:val="00061F82"/>
    <w:rsid w:val="00062E6F"/>
    <w:rsid w:val="00066EEE"/>
    <w:rsid w:val="000708E3"/>
    <w:rsid w:val="00075B24"/>
    <w:rsid w:val="00080008"/>
    <w:rsid w:val="00081C87"/>
    <w:rsid w:val="00082926"/>
    <w:rsid w:val="00084752"/>
    <w:rsid w:val="000911B4"/>
    <w:rsid w:val="00093FB5"/>
    <w:rsid w:val="00094987"/>
    <w:rsid w:val="00094BB8"/>
    <w:rsid w:val="00094CEE"/>
    <w:rsid w:val="000A20DF"/>
    <w:rsid w:val="000A39D9"/>
    <w:rsid w:val="000B0A2D"/>
    <w:rsid w:val="000B442F"/>
    <w:rsid w:val="000B7B09"/>
    <w:rsid w:val="000C14E7"/>
    <w:rsid w:val="000C2588"/>
    <w:rsid w:val="000C308E"/>
    <w:rsid w:val="000C3BF9"/>
    <w:rsid w:val="000C5D8B"/>
    <w:rsid w:val="000C787D"/>
    <w:rsid w:val="000D05CD"/>
    <w:rsid w:val="000D2689"/>
    <w:rsid w:val="000D2898"/>
    <w:rsid w:val="000D316B"/>
    <w:rsid w:val="000D79BC"/>
    <w:rsid w:val="000E3021"/>
    <w:rsid w:val="000E3200"/>
    <w:rsid w:val="000E753D"/>
    <w:rsid w:val="000F7172"/>
    <w:rsid w:val="001040B9"/>
    <w:rsid w:val="001069ED"/>
    <w:rsid w:val="001107A4"/>
    <w:rsid w:val="001160A3"/>
    <w:rsid w:val="00120D2D"/>
    <w:rsid w:val="001210BB"/>
    <w:rsid w:val="001224FA"/>
    <w:rsid w:val="00125976"/>
    <w:rsid w:val="0012656D"/>
    <w:rsid w:val="00131BBA"/>
    <w:rsid w:val="00132354"/>
    <w:rsid w:val="001347E4"/>
    <w:rsid w:val="0013528F"/>
    <w:rsid w:val="00136EDF"/>
    <w:rsid w:val="00142461"/>
    <w:rsid w:val="00145E5B"/>
    <w:rsid w:val="00152D73"/>
    <w:rsid w:val="00152FCA"/>
    <w:rsid w:val="00153C5E"/>
    <w:rsid w:val="001613D0"/>
    <w:rsid w:val="001625B4"/>
    <w:rsid w:val="00163734"/>
    <w:rsid w:val="00165644"/>
    <w:rsid w:val="00167725"/>
    <w:rsid w:val="00171EE1"/>
    <w:rsid w:val="0018234F"/>
    <w:rsid w:val="001844AB"/>
    <w:rsid w:val="00186422"/>
    <w:rsid w:val="001866B6"/>
    <w:rsid w:val="00187B4D"/>
    <w:rsid w:val="00192333"/>
    <w:rsid w:val="001932BC"/>
    <w:rsid w:val="00193635"/>
    <w:rsid w:val="001A04AD"/>
    <w:rsid w:val="001A6105"/>
    <w:rsid w:val="001A6D51"/>
    <w:rsid w:val="001B0885"/>
    <w:rsid w:val="001B3894"/>
    <w:rsid w:val="001B44D4"/>
    <w:rsid w:val="001B60E8"/>
    <w:rsid w:val="001C0C5C"/>
    <w:rsid w:val="001C1F00"/>
    <w:rsid w:val="001C53DE"/>
    <w:rsid w:val="001D37DE"/>
    <w:rsid w:val="001E719A"/>
    <w:rsid w:val="001F21C5"/>
    <w:rsid w:val="001F4FEF"/>
    <w:rsid w:val="00201C87"/>
    <w:rsid w:val="00201E64"/>
    <w:rsid w:val="00212686"/>
    <w:rsid w:val="0021556E"/>
    <w:rsid w:val="0021590D"/>
    <w:rsid w:val="00216681"/>
    <w:rsid w:val="00221C3F"/>
    <w:rsid w:val="002235E5"/>
    <w:rsid w:val="00223D2B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44D50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610"/>
    <w:rsid w:val="00265B1E"/>
    <w:rsid w:val="00266327"/>
    <w:rsid w:val="00266C2A"/>
    <w:rsid w:val="00270E22"/>
    <w:rsid w:val="00280631"/>
    <w:rsid w:val="00285036"/>
    <w:rsid w:val="00285432"/>
    <w:rsid w:val="00285DA8"/>
    <w:rsid w:val="002872A9"/>
    <w:rsid w:val="00290CF4"/>
    <w:rsid w:val="00291177"/>
    <w:rsid w:val="002914CF"/>
    <w:rsid w:val="00291D5A"/>
    <w:rsid w:val="0029237D"/>
    <w:rsid w:val="002939B3"/>
    <w:rsid w:val="00294740"/>
    <w:rsid w:val="00295CA7"/>
    <w:rsid w:val="002960D9"/>
    <w:rsid w:val="00296607"/>
    <w:rsid w:val="002973FD"/>
    <w:rsid w:val="002A31DC"/>
    <w:rsid w:val="002A3AAA"/>
    <w:rsid w:val="002A4860"/>
    <w:rsid w:val="002B24A9"/>
    <w:rsid w:val="002B25CA"/>
    <w:rsid w:val="002B4679"/>
    <w:rsid w:val="002B6236"/>
    <w:rsid w:val="002C1A27"/>
    <w:rsid w:val="002C3F80"/>
    <w:rsid w:val="002C4257"/>
    <w:rsid w:val="002C73C5"/>
    <w:rsid w:val="002D1B86"/>
    <w:rsid w:val="002D34C6"/>
    <w:rsid w:val="002D432A"/>
    <w:rsid w:val="002D542D"/>
    <w:rsid w:val="002D6BE8"/>
    <w:rsid w:val="002E30B6"/>
    <w:rsid w:val="002E3EDF"/>
    <w:rsid w:val="002E4A38"/>
    <w:rsid w:val="002E4B5F"/>
    <w:rsid w:val="002F2259"/>
    <w:rsid w:val="002F22E9"/>
    <w:rsid w:val="002F3FFB"/>
    <w:rsid w:val="002F403B"/>
    <w:rsid w:val="002F4D84"/>
    <w:rsid w:val="002F5B7A"/>
    <w:rsid w:val="002F645B"/>
    <w:rsid w:val="002F75DF"/>
    <w:rsid w:val="002F7753"/>
    <w:rsid w:val="002F7FB8"/>
    <w:rsid w:val="0030179A"/>
    <w:rsid w:val="00301B48"/>
    <w:rsid w:val="0030681A"/>
    <w:rsid w:val="003137E6"/>
    <w:rsid w:val="003138C1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546C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A56D8"/>
    <w:rsid w:val="003B0E30"/>
    <w:rsid w:val="003B1C3E"/>
    <w:rsid w:val="003B1C78"/>
    <w:rsid w:val="003B4AC0"/>
    <w:rsid w:val="003B7448"/>
    <w:rsid w:val="003C1B35"/>
    <w:rsid w:val="003D2C10"/>
    <w:rsid w:val="003D2EA1"/>
    <w:rsid w:val="003D4D2E"/>
    <w:rsid w:val="003E02AC"/>
    <w:rsid w:val="003E0F75"/>
    <w:rsid w:val="003E3656"/>
    <w:rsid w:val="003E4C10"/>
    <w:rsid w:val="003F01F4"/>
    <w:rsid w:val="003F3F05"/>
    <w:rsid w:val="003F63D1"/>
    <w:rsid w:val="004026F3"/>
    <w:rsid w:val="00403429"/>
    <w:rsid w:val="00403A64"/>
    <w:rsid w:val="004106C1"/>
    <w:rsid w:val="004151C1"/>
    <w:rsid w:val="00415CCC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413E"/>
    <w:rsid w:val="0048224D"/>
    <w:rsid w:val="00482886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D6608"/>
    <w:rsid w:val="004E0E92"/>
    <w:rsid w:val="004E3881"/>
    <w:rsid w:val="004E41F0"/>
    <w:rsid w:val="004F133C"/>
    <w:rsid w:val="004F3DC0"/>
    <w:rsid w:val="004F43C3"/>
    <w:rsid w:val="005012E8"/>
    <w:rsid w:val="005017F4"/>
    <w:rsid w:val="0050217D"/>
    <w:rsid w:val="005038DA"/>
    <w:rsid w:val="00505482"/>
    <w:rsid w:val="0050746F"/>
    <w:rsid w:val="00516131"/>
    <w:rsid w:val="005161BB"/>
    <w:rsid w:val="005161DF"/>
    <w:rsid w:val="005178B1"/>
    <w:rsid w:val="00517C9E"/>
    <w:rsid w:val="005224E0"/>
    <w:rsid w:val="005225F7"/>
    <w:rsid w:val="00525929"/>
    <w:rsid w:val="005262AA"/>
    <w:rsid w:val="00527D28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E6D"/>
    <w:rsid w:val="00582FB1"/>
    <w:rsid w:val="005843A7"/>
    <w:rsid w:val="00592519"/>
    <w:rsid w:val="00592986"/>
    <w:rsid w:val="00597D05"/>
    <w:rsid w:val="005A3173"/>
    <w:rsid w:val="005A503F"/>
    <w:rsid w:val="005A6A41"/>
    <w:rsid w:val="005B4455"/>
    <w:rsid w:val="005B47F0"/>
    <w:rsid w:val="005D06E5"/>
    <w:rsid w:val="005D31AC"/>
    <w:rsid w:val="005D3A1C"/>
    <w:rsid w:val="005D59B8"/>
    <w:rsid w:val="005D5A69"/>
    <w:rsid w:val="005E184F"/>
    <w:rsid w:val="005E53FC"/>
    <w:rsid w:val="005E6E92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3B"/>
    <w:rsid w:val="00627EAC"/>
    <w:rsid w:val="00630135"/>
    <w:rsid w:val="00631D50"/>
    <w:rsid w:val="0063253F"/>
    <w:rsid w:val="00640FF0"/>
    <w:rsid w:val="00641D7E"/>
    <w:rsid w:val="00642797"/>
    <w:rsid w:val="00645096"/>
    <w:rsid w:val="00645732"/>
    <w:rsid w:val="006470F1"/>
    <w:rsid w:val="006501EA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16E1"/>
    <w:rsid w:val="006B22D7"/>
    <w:rsid w:val="006B489B"/>
    <w:rsid w:val="006B594F"/>
    <w:rsid w:val="006B5CC7"/>
    <w:rsid w:val="006B5E60"/>
    <w:rsid w:val="006B6050"/>
    <w:rsid w:val="006B79AB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09E5"/>
    <w:rsid w:val="006F572B"/>
    <w:rsid w:val="006F5A69"/>
    <w:rsid w:val="006F6825"/>
    <w:rsid w:val="006F7518"/>
    <w:rsid w:val="007000EF"/>
    <w:rsid w:val="007043A0"/>
    <w:rsid w:val="00704FBA"/>
    <w:rsid w:val="0070521E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251A7"/>
    <w:rsid w:val="0072533C"/>
    <w:rsid w:val="00726843"/>
    <w:rsid w:val="00733B73"/>
    <w:rsid w:val="00733E26"/>
    <w:rsid w:val="0073451E"/>
    <w:rsid w:val="00737C1A"/>
    <w:rsid w:val="00740C48"/>
    <w:rsid w:val="00740EDE"/>
    <w:rsid w:val="00742282"/>
    <w:rsid w:val="007424DF"/>
    <w:rsid w:val="00744D7E"/>
    <w:rsid w:val="00755066"/>
    <w:rsid w:val="007641B1"/>
    <w:rsid w:val="0076459F"/>
    <w:rsid w:val="00764F0F"/>
    <w:rsid w:val="00764F85"/>
    <w:rsid w:val="0076522E"/>
    <w:rsid w:val="00773C95"/>
    <w:rsid w:val="00775E5B"/>
    <w:rsid w:val="00776F48"/>
    <w:rsid w:val="007810CD"/>
    <w:rsid w:val="00786DEF"/>
    <w:rsid w:val="00791130"/>
    <w:rsid w:val="007A06EB"/>
    <w:rsid w:val="007A15DE"/>
    <w:rsid w:val="007A68B7"/>
    <w:rsid w:val="007A6A2F"/>
    <w:rsid w:val="007A769A"/>
    <w:rsid w:val="007A773B"/>
    <w:rsid w:val="007B0F31"/>
    <w:rsid w:val="007B2487"/>
    <w:rsid w:val="007B3BEB"/>
    <w:rsid w:val="007B5DF8"/>
    <w:rsid w:val="007B60BE"/>
    <w:rsid w:val="007B62FF"/>
    <w:rsid w:val="007B690D"/>
    <w:rsid w:val="007C105F"/>
    <w:rsid w:val="007C585B"/>
    <w:rsid w:val="007D0BC2"/>
    <w:rsid w:val="007D645C"/>
    <w:rsid w:val="007D7950"/>
    <w:rsid w:val="007E1CB0"/>
    <w:rsid w:val="007E3DC6"/>
    <w:rsid w:val="007E5088"/>
    <w:rsid w:val="007E6A03"/>
    <w:rsid w:val="007F033D"/>
    <w:rsid w:val="007F0B8F"/>
    <w:rsid w:val="007F1CD2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057D9"/>
    <w:rsid w:val="0081391A"/>
    <w:rsid w:val="00816F4E"/>
    <w:rsid w:val="00817E19"/>
    <w:rsid w:val="00824371"/>
    <w:rsid w:val="00826834"/>
    <w:rsid w:val="008310A0"/>
    <w:rsid w:val="00837305"/>
    <w:rsid w:val="008401C1"/>
    <w:rsid w:val="00841561"/>
    <w:rsid w:val="00843492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2EE3"/>
    <w:rsid w:val="00896E2F"/>
    <w:rsid w:val="00897750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6995"/>
    <w:rsid w:val="008C7DEF"/>
    <w:rsid w:val="008D5148"/>
    <w:rsid w:val="008E163B"/>
    <w:rsid w:val="008E42AB"/>
    <w:rsid w:val="008E43B8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0EE7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51C0"/>
    <w:rsid w:val="00975E1A"/>
    <w:rsid w:val="00976FFB"/>
    <w:rsid w:val="00977FB5"/>
    <w:rsid w:val="009801A6"/>
    <w:rsid w:val="009913E8"/>
    <w:rsid w:val="00991577"/>
    <w:rsid w:val="00991F9A"/>
    <w:rsid w:val="00993A79"/>
    <w:rsid w:val="009A0834"/>
    <w:rsid w:val="009A123F"/>
    <w:rsid w:val="009A69EA"/>
    <w:rsid w:val="009B0284"/>
    <w:rsid w:val="009B02E5"/>
    <w:rsid w:val="009B1F07"/>
    <w:rsid w:val="009B29B3"/>
    <w:rsid w:val="009B3C33"/>
    <w:rsid w:val="009C2C08"/>
    <w:rsid w:val="009C2FEB"/>
    <w:rsid w:val="009C3751"/>
    <w:rsid w:val="009C58F9"/>
    <w:rsid w:val="009C7DD0"/>
    <w:rsid w:val="009D26D5"/>
    <w:rsid w:val="009D33C0"/>
    <w:rsid w:val="009D6794"/>
    <w:rsid w:val="009F0014"/>
    <w:rsid w:val="009F187D"/>
    <w:rsid w:val="009F4038"/>
    <w:rsid w:val="009F6017"/>
    <w:rsid w:val="009F71F1"/>
    <w:rsid w:val="009F79A2"/>
    <w:rsid w:val="00A02FC9"/>
    <w:rsid w:val="00A04E34"/>
    <w:rsid w:val="00A056EE"/>
    <w:rsid w:val="00A111DF"/>
    <w:rsid w:val="00A129D5"/>
    <w:rsid w:val="00A147D1"/>
    <w:rsid w:val="00A14C66"/>
    <w:rsid w:val="00A15153"/>
    <w:rsid w:val="00A15DCF"/>
    <w:rsid w:val="00A168B5"/>
    <w:rsid w:val="00A21755"/>
    <w:rsid w:val="00A232CB"/>
    <w:rsid w:val="00A24404"/>
    <w:rsid w:val="00A253D2"/>
    <w:rsid w:val="00A25C7C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3962"/>
    <w:rsid w:val="00A8406F"/>
    <w:rsid w:val="00A84A00"/>
    <w:rsid w:val="00A87699"/>
    <w:rsid w:val="00A913EE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451E"/>
    <w:rsid w:val="00AB76AF"/>
    <w:rsid w:val="00AB7C0F"/>
    <w:rsid w:val="00AC41E3"/>
    <w:rsid w:val="00AC52A7"/>
    <w:rsid w:val="00AC6DEE"/>
    <w:rsid w:val="00AC7D86"/>
    <w:rsid w:val="00AE24B8"/>
    <w:rsid w:val="00AE2B53"/>
    <w:rsid w:val="00AE3854"/>
    <w:rsid w:val="00AE7520"/>
    <w:rsid w:val="00AF1E3D"/>
    <w:rsid w:val="00AF2B8D"/>
    <w:rsid w:val="00AF38D3"/>
    <w:rsid w:val="00AF7574"/>
    <w:rsid w:val="00AF7EAB"/>
    <w:rsid w:val="00B0545F"/>
    <w:rsid w:val="00B05A96"/>
    <w:rsid w:val="00B0700E"/>
    <w:rsid w:val="00B079DE"/>
    <w:rsid w:val="00B1363E"/>
    <w:rsid w:val="00B212DF"/>
    <w:rsid w:val="00B22606"/>
    <w:rsid w:val="00B22BC3"/>
    <w:rsid w:val="00B23A8D"/>
    <w:rsid w:val="00B263CA"/>
    <w:rsid w:val="00B27CF3"/>
    <w:rsid w:val="00B32AAA"/>
    <w:rsid w:val="00B32B03"/>
    <w:rsid w:val="00B33D88"/>
    <w:rsid w:val="00B5106B"/>
    <w:rsid w:val="00B531A7"/>
    <w:rsid w:val="00B569F0"/>
    <w:rsid w:val="00B604C6"/>
    <w:rsid w:val="00B614D2"/>
    <w:rsid w:val="00B725B6"/>
    <w:rsid w:val="00B83738"/>
    <w:rsid w:val="00B853B5"/>
    <w:rsid w:val="00B86A0D"/>
    <w:rsid w:val="00B871CE"/>
    <w:rsid w:val="00B949ED"/>
    <w:rsid w:val="00BA1C93"/>
    <w:rsid w:val="00BA22DF"/>
    <w:rsid w:val="00BA5C9B"/>
    <w:rsid w:val="00BA70ED"/>
    <w:rsid w:val="00BA779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3017"/>
    <w:rsid w:val="00BE4414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1519"/>
    <w:rsid w:val="00C047FA"/>
    <w:rsid w:val="00C113EA"/>
    <w:rsid w:val="00C11A1E"/>
    <w:rsid w:val="00C11AE7"/>
    <w:rsid w:val="00C12DCB"/>
    <w:rsid w:val="00C220EE"/>
    <w:rsid w:val="00C26541"/>
    <w:rsid w:val="00C26692"/>
    <w:rsid w:val="00C26C39"/>
    <w:rsid w:val="00C26D26"/>
    <w:rsid w:val="00C30611"/>
    <w:rsid w:val="00C425C7"/>
    <w:rsid w:val="00C42A39"/>
    <w:rsid w:val="00C4699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959"/>
    <w:rsid w:val="00C57CD1"/>
    <w:rsid w:val="00C624D4"/>
    <w:rsid w:val="00C62E23"/>
    <w:rsid w:val="00C63544"/>
    <w:rsid w:val="00C65DBD"/>
    <w:rsid w:val="00C71DD5"/>
    <w:rsid w:val="00C765AE"/>
    <w:rsid w:val="00C81322"/>
    <w:rsid w:val="00C81FBC"/>
    <w:rsid w:val="00C820A6"/>
    <w:rsid w:val="00C83017"/>
    <w:rsid w:val="00C86487"/>
    <w:rsid w:val="00C90D56"/>
    <w:rsid w:val="00C949F8"/>
    <w:rsid w:val="00C96649"/>
    <w:rsid w:val="00C97B26"/>
    <w:rsid w:val="00C97DE2"/>
    <w:rsid w:val="00CA1A2F"/>
    <w:rsid w:val="00CA5B1F"/>
    <w:rsid w:val="00CB02DB"/>
    <w:rsid w:val="00CB0B06"/>
    <w:rsid w:val="00CB5401"/>
    <w:rsid w:val="00CB70BC"/>
    <w:rsid w:val="00CC312E"/>
    <w:rsid w:val="00CC5224"/>
    <w:rsid w:val="00CC55AD"/>
    <w:rsid w:val="00CC6651"/>
    <w:rsid w:val="00CD2C23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2246"/>
    <w:rsid w:val="00D04C3F"/>
    <w:rsid w:val="00D04E30"/>
    <w:rsid w:val="00D1011C"/>
    <w:rsid w:val="00D1039A"/>
    <w:rsid w:val="00D14533"/>
    <w:rsid w:val="00D14A39"/>
    <w:rsid w:val="00D2283E"/>
    <w:rsid w:val="00D310B7"/>
    <w:rsid w:val="00D32BC3"/>
    <w:rsid w:val="00D32F4C"/>
    <w:rsid w:val="00D33660"/>
    <w:rsid w:val="00D3621C"/>
    <w:rsid w:val="00D42659"/>
    <w:rsid w:val="00D4636A"/>
    <w:rsid w:val="00D50235"/>
    <w:rsid w:val="00D5120C"/>
    <w:rsid w:val="00D537BC"/>
    <w:rsid w:val="00D56A27"/>
    <w:rsid w:val="00D56FD9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2051"/>
    <w:rsid w:val="00D75731"/>
    <w:rsid w:val="00D762F1"/>
    <w:rsid w:val="00D8139C"/>
    <w:rsid w:val="00D81EE7"/>
    <w:rsid w:val="00D82D0E"/>
    <w:rsid w:val="00D834F0"/>
    <w:rsid w:val="00D84A3D"/>
    <w:rsid w:val="00D85815"/>
    <w:rsid w:val="00D86A65"/>
    <w:rsid w:val="00D944F9"/>
    <w:rsid w:val="00D95776"/>
    <w:rsid w:val="00DA18CB"/>
    <w:rsid w:val="00DA198B"/>
    <w:rsid w:val="00DA4EEE"/>
    <w:rsid w:val="00DA5904"/>
    <w:rsid w:val="00DB0BEA"/>
    <w:rsid w:val="00DB3D28"/>
    <w:rsid w:val="00DB4CBF"/>
    <w:rsid w:val="00DB50C6"/>
    <w:rsid w:val="00DB58A2"/>
    <w:rsid w:val="00DB7C97"/>
    <w:rsid w:val="00DC0D7E"/>
    <w:rsid w:val="00DC310B"/>
    <w:rsid w:val="00DC3479"/>
    <w:rsid w:val="00DC75ED"/>
    <w:rsid w:val="00DC7B2E"/>
    <w:rsid w:val="00DD008F"/>
    <w:rsid w:val="00DD1016"/>
    <w:rsid w:val="00DD1FCF"/>
    <w:rsid w:val="00DD201E"/>
    <w:rsid w:val="00DD52B9"/>
    <w:rsid w:val="00DD57F6"/>
    <w:rsid w:val="00DE69EC"/>
    <w:rsid w:val="00DF12EE"/>
    <w:rsid w:val="00DF36D7"/>
    <w:rsid w:val="00DF3AA6"/>
    <w:rsid w:val="00DF54C4"/>
    <w:rsid w:val="00E02002"/>
    <w:rsid w:val="00E02380"/>
    <w:rsid w:val="00E0538F"/>
    <w:rsid w:val="00E10E6E"/>
    <w:rsid w:val="00E110FD"/>
    <w:rsid w:val="00E12138"/>
    <w:rsid w:val="00E140F1"/>
    <w:rsid w:val="00E16523"/>
    <w:rsid w:val="00E206BB"/>
    <w:rsid w:val="00E2198E"/>
    <w:rsid w:val="00E23981"/>
    <w:rsid w:val="00E23F45"/>
    <w:rsid w:val="00E24224"/>
    <w:rsid w:val="00E30BC1"/>
    <w:rsid w:val="00E4013B"/>
    <w:rsid w:val="00E40400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7306"/>
    <w:rsid w:val="00E80287"/>
    <w:rsid w:val="00E826AF"/>
    <w:rsid w:val="00E90B13"/>
    <w:rsid w:val="00E92716"/>
    <w:rsid w:val="00E93536"/>
    <w:rsid w:val="00E96030"/>
    <w:rsid w:val="00E973A0"/>
    <w:rsid w:val="00EA0889"/>
    <w:rsid w:val="00EA30EE"/>
    <w:rsid w:val="00EA412F"/>
    <w:rsid w:val="00EA48B6"/>
    <w:rsid w:val="00EA54E4"/>
    <w:rsid w:val="00EA7495"/>
    <w:rsid w:val="00EB05F4"/>
    <w:rsid w:val="00EB1130"/>
    <w:rsid w:val="00EB25A7"/>
    <w:rsid w:val="00EB3928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EF50FA"/>
    <w:rsid w:val="00EF5911"/>
    <w:rsid w:val="00EF5A2D"/>
    <w:rsid w:val="00F002FB"/>
    <w:rsid w:val="00F022BA"/>
    <w:rsid w:val="00F05BD6"/>
    <w:rsid w:val="00F074E8"/>
    <w:rsid w:val="00F12026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345E1"/>
    <w:rsid w:val="00F404C4"/>
    <w:rsid w:val="00F5089D"/>
    <w:rsid w:val="00F55E42"/>
    <w:rsid w:val="00F6117F"/>
    <w:rsid w:val="00F66231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380D"/>
    <w:rsid w:val="00F84AC5"/>
    <w:rsid w:val="00F869F1"/>
    <w:rsid w:val="00F8773E"/>
    <w:rsid w:val="00F90879"/>
    <w:rsid w:val="00F909D0"/>
    <w:rsid w:val="00F90B34"/>
    <w:rsid w:val="00F9111B"/>
    <w:rsid w:val="00F93E39"/>
    <w:rsid w:val="00F94A90"/>
    <w:rsid w:val="00F96832"/>
    <w:rsid w:val="00F9700D"/>
    <w:rsid w:val="00F97994"/>
    <w:rsid w:val="00FA4040"/>
    <w:rsid w:val="00FB1D91"/>
    <w:rsid w:val="00FB2BF4"/>
    <w:rsid w:val="00FB49BF"/>
    <w:rsid w:val="00FB5097"/>
    <w:rsid w:val="00FB561F"/>
    <w:rsid w:val="00FC03E5"/>
    <w:rsid w:val="00FC1676"/>
    <w:rsid w:val="00FC1C97"/>
    <w:rsid w:val="00FC3172"/>
    <w:rsid w:val="00FC3EE2"/>
    <w:rsid w:val="00FD18C6"/>
    <w:rsid w:val="00FD1EFF"/>
    <w:rsid w:val="00FD209F"/>
    <w:rsid w:val="00FD5E6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  <w:style w:type="character" w:customStyle="1" w:styleId="Titolo2Carattere">
    <w:name w:val="Titolo 2 Carattere"/>
    <w:basedOn w:val="Carpredefinitoparagrafo"/>
    <w:link w:val="Titolo2"/>
    <w:rsid w:val="000039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DBE33-AAE6-40D9-ACD1-98060416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maria</cp:lastModifiedBy>
  <cp:revision>159</cp:revision>
  <cp:lastPrinted>2018-09-26T12:01:00Z</cp:lastPrinted>
  <dcterms:created xsi:type="dcterms:W3CDTF">2018-09-26T12:01:00Z</dcterms:created>
  <dcterms:modified xsi:type="dcterms:W3CDTF">2019-02-28T09:22:00Z</dcterms:modified>
</cp:coreProperties>
</file>