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-47" l="-32" r="-31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OGGETTO: </w:t>
      </w:r>
      <w:r w:rsidDel="00000000" w:rsidR="00000000" w:rsidRPr="00000000">
        <w:rPr>
          <w:b w:val="1"/>
          <w:rtl w:val="0"/>
        </w:rPr>
        <w:t xml:space="preserve">Dichiarazione di insussistenza cause ostative collaudatore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Visto l’art. 53 del D.lgs. 165 del 2001 e successive modifiche;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Visto il decreto del Presidente della Repubblica 16 aprile 2013, n. 62 recante il codice di comportamento dei dipendenti pubblici, a norma dell’art. 54 del d.legs. n. 165/2001;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Visto il D.Lgs. n. 33/2013;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Consapevole delle sanzioni penali per le ipotesi di dichiarazioni false e mendaci rese ai sensi dell’art. 76 del DPR n. 445/2000, sotto la propria responsabilità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ai sensi dell’art. 47 del D.P.R. 28/12/2000, n. 445 che non sussistono cause di incompatibilità, di astensione e/o di conflitti di interesse nell’espletamento delle attività che si accinge a svolgere.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________________________________</w:t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rgOCDW3LVM2/jQQDzP13JSgSCA==">AMUW2mXg0vUd/mP5ffrkB2po1Z5bDBFq89jCr5PdxEepeB9acXjhNHDRwluM5NyzBx6Rfp4eEJT4H+WUgCFIgRhZYYAXQtLvgV10iGFGJRq1ITd3h6SHObA=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