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0.0" w:type="pct"/>
        <w:tblLayout w:type="fixed"/>
        <w:tblLook w:val="0000"/>
      </w:tblPr>
      <w:tblGrid>
        <w:gridCol w:w="6240"/>
        <w:gridCol w:w="3405"/>
        <w:tblGridChange w:id="0">
          <w:tblGrid>
            <w:gridCol w:w="6240"/>
            <w:gridCol w:w="34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-542" l="-132" r="-131" t="-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-47" l="-32" r="-31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jc w:val="both"/>
        <w:rPr>
          <w:rFonts w:ascii="sans-serif" w:cs="sans-serif" w:eastAsia="sans-serif" w:hAnsi="sans-serif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sans-serif" w:cs="sans-serif" w:eastAsia="sans-serif" w:hAnsi="sans-serif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2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Protocollo, vedi segnatura </w:t>
        <w:tab/>
        <w:tab/>
        <w:t xml:space="preserve">All’albo on line</w:t>
      </w:r>
    </w:p>
    <w:p w:rsidR="00000000" w:rsidDel="00000000" w:rsidP="00000000" w:rsidRDefault="00000000" w:rsidRPr="00000000" w14:paraId="0000001A">
      <w:pPr>
        <w:pageBreakBefore w:val="0"/>
        <w:tabs>
          <w:tab w:val="left" w:pos="7653.543307086615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653.543307086615"/>
        </w:tabs>
        <w:jc w:val="left"/>
        <w:rPr/>
      </w:pPr>
      <w:r w:rsidDel="00000000" w:rsidR="00000000" w:rsidRPr="00000000">
        <w:rPr>
          <w:rtl w:val="0"/>
        </w:rPr>
        <w:t xml:space="preserve">CIG: Z2A33D282D</w:t>
      </w:r>
    </w:p>
    <w:p w:rsidR="00000000" w:rsidDel="00000000" w:rsidP="00000000" w:rsidRDefault="00000000" w:rsidRPr="00000000" w14:paraId="0000001C">
      <w:pPr>
        <w:pageBreakBefore w:val="0"/>
        <w:tabs>
          <w:tab w:val="left" w:pos="7653.543307086615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DETERMINA A CONTRARRE</w:t>
      </w:r>
    </w:p>
    <w:p w:rsidR="00000000" w:rsidDel="00000000" w:rsidP="00000000" w:rsidRDefault="00000000" w:rsidRPr="00000000" w14:paraId="0000001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Determina a contrarre tramite affidamento diretto per l’acquisto di giochi - Infanzia Villa redenta</w:t>
      </w:r>
    </w:p>
    <w:p w:rsidR="00000000" w:rsidDel="00000000" w:rsidP="00000000" w:rsidRDefault="00000000" w:rsidRPr="00000000" w14:paraId="00000020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20"/>
        <w:gridCol w:w="7380"/>
        <w:tblGridChange w:id="0">
          <w:tblGrid>
            <w:gridCol w:w="2220"/>
            <w:gridCol w:w="7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la L. 15 marzo 1997, n. 59</w:t>
              </w:r>
            </w:hyperlink>
            <w:r w:rsidDel="00000000" w:rsidR="00000000" w:rsidRPr="00000000">
              <w:rPr>
                <w:rtl w:val="0"/>
              </w:rPr>
              <w:t xml:space="preserve">, concernente «Delega al Governo per il conferimento di funzioni e compiti alle regioni ed enti locali, per la riforma della Pubblica Amministrazione e per la semplificazione amministrativa»;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il D.Lgs. n. 165 del 30 marzo 2001</w:t>
              </w:r>
            </w:hyperlink>
            <w:r w:rsidDel="00000000" w:rsidR="00000000" w:rsidRPr="00000000">
              <w:rPr>
                <w:rtl w:val="0"/>
              </w:rPr>
              <w:t xml:space="preserve">, recante «Norme generali sull'ordinamento del lavoro alle dipendenze delle amministrazioni pubbliche» e successive modifiche e integrazioni;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il Decreto Interministeriale 28 agosto 2018, n. 129</w:t>
              </w:r>
            </w:hyperlink>
            <w:r w:rsidDel="00000000" w:rsidR="00000000" w:rsidRPr="00000000">
              <w:rPr>
                <w:rtl w:val="0"/>
              </w:rPr>
              <w:t xml:space="preserve">, recante «Istruzioni generali sulla gestione amministrativo-contabile delle istituzioni scolastiche, ai sensi dell’articolo 1, comma 143, della legge 13 luglio 2015, n. 107»;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l’art. 32, comma 2, del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D.Lgs. n.° 50 del 2016 </w:t>
              </w:r>
            </w:hyperlink>
            <w:r w:rsidDel="00000000" w:rsidR="00000000" w:rsidRPr="00000000">
              <w:rPr>
                <w:rtl w:val="0"/>
              </w:rPr>
              <w:t xml:space="preserve">(Codice dei contratti pubblici) il quale dispone che prima dell'avvio delle procedure di affidamento dei contratti pubblici, le amministrazioni aggiudicatrici decretano o determinano di contrarre, in conformità ai propri ordinamenti, individuando gli elementi essenziali del contratto e i criteri di selezione degli operatori economici e delle offerte;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regolamento d’Istituto contenente criteri e limiti per lo svolgimento dell’attività negoziale da parte del dirigente scolastico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4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CONSIDERATO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before="0" w:lineRule="auto"/>
              <w:ind w:left="-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che ai sensi dell'articolo 36, comma 6, ultimo periodo del Codice, il Ministero dell’Economia e delle Finanze, avvalendosi di CONSIP S.p.A., ha messo a disposizione delle Stazioni Appaltanti il Mercato Elettronico delle Pubbliche Amministrazioni e, dato atto, pertanto che sul MEPA si può acquistare mediante Trattativa Diretta;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4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CONSIDERATE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before="0" w:lineRule="auto"/>
              <w:ind w:left="-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  <w:t xml:space="preserve">a richiesta delle docenti della scuola dell’infanzia di Villa redenta di acquistare giochi per un totale di euro 297.80 (Iva esclusa)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DATO ATTO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ind w:left="-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della non esistenza di Convenzioni Consip attive in merito a tale merceologia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DETERMINA</w:t>
      </w:r>
    </w:p>
    <w:p w:rsidR="00000000" w:rsidDel="00000000" w:rsidP="00000000" w:rsidRDefault="00000000" w:rsidRPr="00000000" w14:paraId="00000033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Per i motivi espressi nella premessa, che si intendono integralmente richiamati:</w:t>
      </w:r>
    </w:p>
    <w:p w:rsidR="00000000" w:rsidDel="00000000" w:rsidP="00000000" w:rsidRDefault="00000000" w:rsidRPr="00000000" w14:paraId="00000035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autorizzare, ai sensi dell’art. 36, comma 2, lett. a) del D.Lgs. 50/2016, per affidamento diretto, la fornitura di giochi vari alla ditta Giodicart    per l’importo di Euro 363.31  (IVA compresa)</w:t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spesa complessiva € 363.31 IVA inclusa da imputare sul capitolo A 3.6 dell’esercizio finanziario 2021;</w:t>
      </w:r>
    </w:p>
    <w:p w:rsidR="00000000" w:rsidDel="00000000" w:rsidP="00000000" w:rsidRDefault="00000000" w:rsidRPr="00000000" w14:paraId="00000039">
      <w:pPr>
        <w:pageBreakBefore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Ai sensi dell’art. 31 del D.Lgs 50/2016, viene individuato responsabile unico del procedimento il Dsga, dott.ssa Maddalena Bartoloni</w:t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dare atto che la presente determina sarà pubblicata all’albo on-line dell’Istituzione scolastica  all’indirizzo web: 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https://www.2circolospoleto.edu.it/jm4/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tabs>
          <w:tab w:val="left" w:pos="7086.614173228346"/>
        </w:tabs>
        <w:jc w:val="both"/>
        <w:rPr/>
      </w:pPr>
      <w:r w:rsidDel="00000000" w:rsidR="00000000" w:rsidRPr="00000000">
        <w:rPr>
          <w:rtl w:val="0"/>
        </w:rPr>
        <w:tab/>
        <w:t xml:space="preserve">La dirigente scolastica</w:t>
      </w:r>
    </w:p>
    <w:p w:rsidR="00000000" w:rsidDel="00000000" w:rsidP="00000000" w:rsidRDefault="00000000" w:rsidRPr="00000000" w14:paraId="0000003F">
      <w:pPr>
        <w:pageBreakBefore w:val="0"/>
        <w:tabs>
          <w:tab w:val="center" w:pos="8220"/>
        </w:tabs>
        <w:jc w:val="both"/>
        <w:rPr/>
      </w:pPr>
      <w:r w:rsidDel="00000000" w:rsidR="00000000" w:rsidRPr="00000000">
        <w:rPr>
          <w:rtl w:val="0"/>
        </w:rPr>
        <w:tab/>
        <w:t xml:space="preserve">Prof.ssa Silvia Mattei</w:t>
      </w:r>
    </w:p>
    <w:p w:rsidR="00000000" w:rsidDel="00000000" w:rsidP="00000000" w:rsidRDefault="00000000" w:rsidRPr="00000000" w14:paraId="0000004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13" w:type="default"/>
      <w:footerReference r:id="rId14" w:type="firs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azzettaufficiale.it/atto/serie_generale/caricaDettaglioAtto/originario?atto.dataPubblicazioneGazzetta=2016-04-19&amp;atto.codiceRedazionale=16G00062" TargetMode="External"/><Relationship Id="rId10" Type="http://schemas.openxmlformats.org/officeDocument/2006/relationships/hyperlink" Target="https://www.gazzettaufficiale.it/eli/id/2018/11/16/18G00155/sg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2circolospoleto.edu.it/jm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azzettaufficiale.it/eli/id/2001/05/09/001G0219/sg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https://www.gazzettaufficiale.it/eli/id/1997/03/17/097G0099/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