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645.0" w:type="dxa"/>
        <w:jc w:val="left"/>
        <w:tblInd w:w="0.0" w:type="dxa"/>
        <w:tblLayout w:type="fixed"/>
        <w:tblLook w:val="0000"/>
      </w:tblPr>
      <w:tblGrid>
        <w:gridCol w:w="6240"/>
        <w:gridCol w:w="3405"/>
        <w:tblGridChange w:id="0">
          <w:tblGrid>
            <w:gridCol w:w="6240"/>
            <w:gridCol w:w="3405"/>
          </w:tblGrid>
        </w:tblGridChange>
      </w:tblGrid>
      <w:tr>
        <w:trPr>
          <w:cantSplit w:val="0"/>
          <w:trHeight w:val="2011" w:hRule="atLeast"/>
          <w:tblHeader w:val="0"/>
        </w:trPr>
        <w:tc>
          <w:tcPr>
            <w:gridSpan w:val="2"/>
            <w:shd w:fill="auto"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37465</wp:posOffset>
                  </wp:positionH>
                  <wp:positionV relativeFrom="paragraph">
                    <wp:posOffset>13970</wp:posOffset>
                  </wp:positionV>
                  <wp:extent cx="5966460" cy="1187450"/>
                  <wp:effectExtent b="0" l="0" r="0" t="0"/>
                  <wp:wrapSquare wrapText="bothSides" distB="0" distT="0" distL="0" distR="0"/>
                  <wp:docPr id="11" name="image2.jpg"/>
                  <a:graphic>
                    <a:graphicData uri="http://schemas.openxmlformats.org/drawingml/2006/picture">
                      <pic:pic>
                        <pic:nvPicPr>
                          <pic:cNvPr id="0" name="image2.jpg"/>
                          <pic:cNvPicPr preferRelativeResize="0"/>
                        </pic:nvPicPr>
                        <pic:blipFill>
                          <a:blip r:embed="rId7"/>
                          <a:srcRect b="-538" l="-132" r="-127" t="-542"/>
                          <a:stretch>
                            <a:fillRect/>
                          </a:stretch>
                        </pic:blipFill>
                        <pic:spPr>
                          <a:xfrm>
                            <a:off x="0" y="0"/>
                            <a:ext cx="5966460" cy="1187450"/>
                          </a:xfrm>
                          <a:prstGeom prst="rect"/>
                          <a:ln/>
                        </pic:spPr>
                      </pic:pic>
                    </a:graphicData>
                  </a:graphic>
                </wp:anchor>
              </w:drawing>
            </w:r>
          </w:p>
        </w:tc>
      </w:tr>
      <w:tr>
        <w:trPr>
          <w:cantSplit w:val="0"/>
          <w:tblHeader w:val="0"/>
        </w:trPr>
        <w:tc>
          <w:tcPr>
            <w:shd w:fill="auto" w:val="clear"/>
          </w:tcPr>
          <w:p w:rsidR="00000000" w:rsidDel="00000000" w:rsidP="00000000" w:rsidRDefault="00000000" w:rsidRPr="00000000" w14:paraId="00000004">
            <w:pPr>
              <w:jc w:val="center"/>
              <w:rPr/>
            </w:pPr>
            <w:r w:rsidDel="00000000" w:rsidR="00000000" w:rsidRPr="00000000">
              <w:rPr>
                <w:b w:val="1"/>
                <w:i w:val="1"/>
                <w:sz w:val="28"/>
                <w:szCs w:val="28"/>
                <w:rtl w:val="0"/>
              </w:rPr>
              <w:t xml:space="preserve">II  CIRCOLO DIDATTICO </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b w:val="1"/>
                <w:i w:val="1"/>
                <w:sz w:val="28"/>
                <w:szCs w:val="28"/>
                <w:rtl w:val="0"/>
              </w:rPr>
              <w:t xml:space="preserve">DI SPOLETO</w:t>
            </w:r>
            <w:r w:rsidDel="00000000" w:rsidR="00000000" w:rsidRPr="00000000">
              <w:rPr>
                <w:rtl w:val="0"/>
              </w:rPr>
            </w:r>
          </w:p>
          <w:p w:rsidR="00000000" w:rsidDel="00000000" w:rsidP="00000000" w:rsidRDefault="00000000" w:rsidRPr="00000000" w14:paraId="00000006">
            <w:pPr>
              <w:jc w:val="center"/>
              <w:rPr>
                <w:i w:val="1"/>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i w:val="1"/>
                <w:rtl w:val="0"/>
              </w:rPr>
              <w:t xml:space="preserve">Scuola dell’Infanzia e Scuola Primaria </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i w:val="1"/>
                <w:rtl w:val="0"/>
              </w:rPr>
              <w:t xml:space="preserve">Via Cerquiglia, 61 Spoleto  06049  (PG)</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i w:val="1"/>
                <w:rtl w:val="0"/>
              </w:rPr>
              <w:t xml:space="preserve">C.F. 84002760548  -  C.M.   PGEE05200N </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i w:val="1"/>
                <w:rtl w:val="0"/>
              </w:rPr>
              <w:t xml:space="preserve">Tel.  0743 224594 – Fax.  0743 207063</w:t>
            </w:r>
            <w:r w:rsidDel="00000000" w:rsidR="00000000" w:rsidRPr="00000000">
              <w:rPr>
                <w:rtl w:val="0"/>
              </w:rPr>
            </w:r>
          </w:p>
          <w:p w:rsidR="00000000" w:rsidDel="00000000" w:rsidP="00000000" w:rsidRDefault="00000000" w:rsidRPr="00000000" w14:paraId="0000000B">
            <w:pPr>
              <w:jc w:val="center"/>
              <w:rPr>
                <w:i w:val="1"/>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i w:val="1"/>
                <w:rtl w:val="0"/>
              </w:rPr>
              <w:t xml:space="preserve">pgee05200n@istruzione.it – pgee05200n@pec.istruzione.it </w:t>
            </w:r>
            <w:r w:rsidDel="00000000" w:rsidR="00000000" w:rsidRPr="00000000">
              <w:rPr>
                <w:rtl w:val="0"/>
              </w:rPr>
            </w:r>
          </w:p>
          <w:p w:rsidR="00000000" w:rsidDel="00000000" w:rsidP="00000000" w:rsidRDefault="00000000" w:rsidRPr="00000000" w14:paraId="0000000D">
            <w:pPr>
              <w:jc w:val="center"/>
              <w:rPr/>
            </w:pPr>
            <w:r w:rsidDel="00000000" w:rsidR="00000000" w:rsidRPr="00000000">
              <w:rPr>
                <w:i w:val="1"/>
                <w:color w:val="000080"/>
                <w:rtl w:val="0"/>
              </w:rPr>
              <w:t xml:space="preserve">http://www.2circolospoleto.edu.it</w:t>
            </w:r>
            <w:r w:rsidDel="00000000" w:rsidR="00000000" w:rsidRPr="00000000">
              <w:rPr>
                <w:rtl w:val="0"/>
              </w:rPr>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Cofinanziato dal Programma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ERASMUS+ dell’UE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33020</wp:posOffset>
                  </wp:positionH>
                  <wp:positionV relativeFrom="paragraph">
                    <wp:posOffset>120015</wp:posOffset>
                  </wp:positionV>
                  <wp:extent cx="2033905" cy="1365885"/>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8"/>
                          <a:srcRect b="-47" l="-32" r="-30" t="-47"/>
                          <a:stretch>
                            <a:fillRect/>
                          </a:stretch>
                        </pic:blipFill>
                        <pic:spPr>
                          <a:xfrm>
                            <a:off x="0" y="0"/>
                            <a:ext cx="2033905" cy="1365885"/>
                          </a:xfrm>
                          <a:prstGeom prst="rect"/>
                          <a:ln/>
                        </pic:spPr>
                      </pic:pic>
                    </a:graphicData>
                  </a:graphic>
                </wp:anchor>
              </w:drawing>
            </w:r>
          </w:p>
        </w:tc>
      </w:tr>
    </w:tbl>
    <w:p w:rsidR="00000000" w:rsidDel="00000000" w:rsidP="00000000" w:rsidRDefault="00000000" w:rsidRPr="00000000" w14:paraId="00000011">
      <w:pPr>
        <w:jc w:val="both"/>
        <w:rPr>
          <w:rFonts w:ascii="sans-serif" w:cs="sans-serif" w:eastAsia="sans-serif" w:hAnsi="sans-serif"/>
          <w:b w:val="1"/>
          <w:i w:val="1"/>
        </w:rPr>
      </w:pPr>
      <w:r w:rsidDel="00000000" w:rsidR="00000000" w:rsidRPr="00000000">
        <w:rPr>
          <w:rtl w:val="0"/>
        </w:rPr>
      </w:r>
    </w:p>
    <w:p w:rsidR="00000000" w:rsidDel="00000000" w:rsidP="00000000" w:rsidRDefault="00000000" w:rsidRPr="00000000" w14:paraId="00000012">
      <w:pPr>
        <w:tabs>
          <w:tab w:val="left" w:pos="7221"/>
        </w:tabs>
        <w:spacing w:line="276" w:lineRule="auto"/>
        <w:jc w:val="both"/>
        <w:rPr/>
      </w:pPr>
      <w:r w:rsidDel="00000000" w:rsidR="00000000" w:rsidRPr="00000000">
        <w:rPr>
          <w:rtl w:val="0"/>
        </w:rPr>
        <w:t xml:space="preserve">Protocollo, vedi segnatura </w:t>
        <w:tab/>
        <w:tab/>
        <w:t xml:space="preserve">All’albo on line</w:t>
      </w:r>
    </w:p>
    <w:p w:rsidR="00000000" w:rsidDel="00000000" w:rsidP="00000000" w:rsidRDefault="00000000" w:rsidRPr="00000000" w14:paraId="00000013">
      <w:pPr>
        <w:tabs>
          <w:tab w:val="left" w:pos="7653"/>
        </w:tabs>
        <w:rPr>
          <w:b w:val="1"/>
        </w:rPr>
      </w:pPr>
      <w:bookmarkStart w:colFirst="0" w:colLast="0" w:name="_heading=h.1fob9te" w:id="2"/>
      <w:bookmarkEnd w:id="2"/>
      <w:r w:rsidDel="00000000" w:rsidR="00000000" w:rsidRPr="00000000">
        <w:rPr>
          <w:rtl w:val="0"/>
        </w:rPr>
        <w:t xml:space="preserve">CIG: </w:t>
      </w:r>
      <w:bookmarkStart w:colFirst="0" w:colLast="0" w:name="bookmark=id.30j0zll" w:id="0"/>
      <w:bookmarkEnd w:id="0"/>
      <w:bookmarkStart w:colFirst="0" w:colLast="0" w:name="bookmark=id.gjdgxs" w:id="1"/>
      <w:bookmarkEnd w:id="1"/>
      <w:r w:rsidDel="00000000" w:rsidR="00000000" w:rsidRPr="00000000">
        <w:rPr>
          <w:rFonts w:ascii="Verdana" w:cs="Verdana" w:eastAsia="Verdana" w:hAnsi="Verdana"/>
          <w:b w:val="1"/>
          <w:color w:val="000000"/>
          <w:sz w:val="19"/>
          <w:szCs w:val="19"/>
          <w:shd w:fill="f9f9f9" w:val="clear"/>
          <w:rtl w:val="0"/>
        </w:rPr>
        <w:t xml:space="preserve">Z4C33CC191</w:t>
      </w: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DETERMINA A CONTRARRE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Determina a contrarre tramite affidamento diretto per l’acquisto di Materiale di Pulizia</w:t>
      </w:r>
    </w:p>
    <w:p w:rsidR="00000000" w:rsidDel="00000000" w:rsidP="00000000" w:rsidRDefault="00000000" w:rsidRPr="00000000" w14:paraId="00000017">
      <w:pPr>
        <w:jc w:val="center"/>
        <w:rPr/>
      </w:pPr>
      <w:r w:rsidDel="00000000" w:rsidR="00000000" w:rsidRPr="00000000">
        <w:rPr>
          <w:rtl w:val="0"/>
        </w:rPr>
      </w:r>
    </w:p>
    <w:tbl>
      <w:tblPr>
        <w:tblStyle w:val="Table2"/>
        <w:tblW w:w="9540.0" w:type="dxa"/>
        <w:jc w:val="center"/>
        <w:tblLayout w:type="fixed"/>
        <w:tblLook w:val="0600"/>
      </w:tblPr>
      <w:tblGrid>
        <w:gridCol w:w="2010"/>
        <w:gridCol w:w="7530"/>
        <w:tblGridChange w:id="0">
          <w:tblGrid>
            <w:gridCol w:w="2010"/>
            <w:gridCol w:w="75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jc w:val="both"/>
              <w:rPr/>
            </w:pPr>
            <w:r w:rsidDel="00000000" w:rsidR="00000000" w:rsidRPr="00000000">
              <w:rPr>
                <w:b w:val="1"/>
                <w:rtl w:val="0"/>
              </w:rPr>
              <w:t xml:space="preserve">VISTO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jc w:val="both"/>
              <w:rPr/>
            </w:pPr>
            <w:hyperlink r:id="rId9">
              <w:r w:rsidDel="00000000" w:rsidR="00000000" w:rsidRPr="00000000">
                <w:rPr>
                  <w:color w:val="1155cc"/>
                  <w:u w:val="single"/>
                  <w:rtl w:val="0"/>
                </w:rPr>
                <w:t xml:space="preserve">la L. 15 marzo 1997, n. 59</w:t>
              </w:r>
            </w:hyperlink>
            <w:r w:rsidDel="00000000" w:rsidR="00000000" w:rsidRPr="00000000">
              <w:rPr>
                <w:rtl w:val="0"/>
              </w:rPr>
              <w:t xml:space="preserve">, concernente «Delega al Governo per il conferimento di funzioni e compiti alle regioni ed enti locali, per la riforma della Pubblica Amministrazione e per la semplificazione amministrativa»;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jc w:val="both"/>
              <w:rPr/>
            </w:pPr>
            <w:r w:rsidDel="00000000" w:rsidR="00000000" w:rsidRPr="00000000">
              <w:rPr>
                <w:b w:val="1"/>
                <w:rtl w:val="0"/>
              </w:rPr>
              <w:t xml:space="preserve">VISTO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jc w:val="both"/>
              <w:rPr/>
            </w:pPr>
            <w:hyperlink r:id="rId10">
              <w:r w:rsidDel="00000000" w:rsidR="00000000" w:rsidRPr="00000000">
                <w:rPr>
                  <w:color w:val="1155cc"/>
                  <w:u w:val="single"/>
                  <w:rtl w:val="0"/>
                </w:rPr>
                <w:t xml:space="preserve">il D.Lgs. n. 165 del 30 marzo 2001</w:t>
              </w:r>
            </w:hyperlink>
            <w:r w:rsidDel="00000000" w:rsidR="00000000" w:rsidRPr="00000000">
              <w:rPr>
                <w:rtl w:val="0"/>
              </w:rPr>
              <w:t xml:space="preserve">, recante «Norme generali sull'ordinamento del lavoro alle dipendenze delle amministrazioni pubbliche» e successive modifiche e integrazioni;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jc w:val="both"/>
              <w:rPr/>
            </w:pPr>
            <w:r w:rsidDel="00000000" w:rsidR="00000000" w:rsidRPr="00000000">
              <w:rPr>
                <w:b w:val="1"/>
                <w:rtl w:val="0"/>
              </w:rPr>
              <w:t xml:space="preserve">VISTO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jc w:val="both"/>
              <w:rPr/>
            </w:pPr>
            <w:hyperlink r:id="rId11">
              <w:r w:rsidDel="00000000" w:rsidR="00000000" w:rsidRPr="00000000">
                <w:rPr>
                  <w:color w:val="1155cc"/>
                  <w:u w:val="single"/>
                  <w:rtl w:val="0"/>
                </w:rPr>
                <w:t xml:space="preserve">il Decreto Interministeriale 28 agosto 2018, n. 129</w:t>
              </w:r>
            </w:hyperlink>
            <w:r w:rsidDel="00000000" w:rsidR="00000000" w:rsidRPr="00000000">
              <w:rPr>
                <w:rtl w:val="0"/>
              </w:rPr>
              <w:t xml:space="preserve">, recante «Istruzioni generali sulla gestione amministrativo-contabile delle istituzioni scolastiche, ai sensi dell’articolo 1, comma 143, della legge 13 luglio 2015, n. 107»;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jc w:val="both"/>
              <w:rPr/>
            </w:pPr>
            <w:r w:rsidDel="00000000" w:rsidR="00000000" w:rsidRPr="00000000">
              <w:rPr>
                <w:b w:val="1"/>
                <w:rtl w:val="0"/>
              </w:rPr>
              <w:t xml:space="preserve">VISTO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jc w:val="both"/>
              <w:rPr/>
            </w:pPr>
            <w:r w:rsidDel="00000000" w:rsidR="00000000" w:rsidRPr="00000000">
              <w:rPr>
                <w:rtl w:val="0"/>
              </w:rPr>
              <w:t xml:space="preserve">l’art. 32, comma 2, del </w:t>
            </w:r>
            <w:hyperlink r:id="rId12">
              <w:r w:rsidDel="00000000" w:rsidR="00000000" w:rsidRPr="00000000">
                <w:rPr>
                  <w:color w:val="1155cc"/>
                  <w:u w:val="single"/>
                  <w:rtl w:val="0"/>
                </w:rPr>
                <w:t xml:space="preserve">D.Lgs. n.° 50 del 2016 </w:t>
              </w:r>
            </w:hyperlink>
            <w:r w:rsidDel="00000000" w:rsidR="00000000" w:rsidRPr="00000000">
              <w:rPr>
                <w:rtl w:val="0"/>
              </w:rPr>
              <w:t xml:space="preserve">(Codice dei contratti pubblici) il quale dispone che prima dell'avvio delle procedure di affidamento dei contratti pubblici, le amministrazioni aggiudicatrici decretano o determinano di contrarre, in conformità ai propri ordinamenti, individuando gli elementi essenziali del contratto e i criteri di selezione degli operatori economici e delle offerte;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jc w:val="both"/>
              <w:rPr/>
            </w:pPr>
            <w:r w:rsidDel="00000000" w:rsidR="00000000" w:rsidRPr="00000000">
              <w:rPr>
                <w:b w:val="1"/>
                <w:rtl w:val="0"/>
              </w:rPr>
              <w:t xml:space="preserve">VISTO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jc w:val="both"/>
              <w:rPr/>
            </w:pPr>
            <w:r w:rsidDel="00000000" w:rsidR="00000000" w:rsidRPr="00000000">
              <w:rPr>
                <w:rtl w:val="0"/>
              </w:rPr>
              <w:t xml:space="preserve">il regolamento d’Istituto contenente criteri e limiti per lo svolgimento dell’attività negoziale da parte del dirigente scolastico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2">
            <w:pPr>
              <w:spacing w:after="240" w:lineRule="auto"/>
              <w:jc w:val="both"/>
              <w:rPr>
                <w:b w:val="1"/>
              </w:rPr>
            </w:pPr>
            <w:r w:rsidDel="00000000" w:rsidR="00000000" w:rsidRPr="00000000">
              <w:rPr>
                <w:b w:val="1"/>
                <w:rtl w:val="0"/>
              </w:rPr>
              <w:t xml:space="preserve">CONSIDERATO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3">
            <w:pPr>
              <w:ind w:left="-60" w:firstLine="0"/>
              <w:jc w:val="both"/>
              <w:rPr/>
            </w:pPr>
            <w:r w:rsidDel="00000000" w:rsidR="00000000" w:rsidRPr="00000000">
              <w:rPr>
                <w:rtl w:val="0"/>
              </w:rPr>
              <w:t xml:space="preserve">che ai sensi dell'articolo 36, comma 6, ultimo periodo del Codice, il Ministero dell’Economia e delle Finanze, avvalendosi di CONSIP S.p.A., ha messo a disposizione delle Stazioni Appaltanti il Mercato Elettronico delle Pubbliche Amministrazioni e, dato atto, pertanto che sul MEPA si può acquistare mediante Trattativa Diretta;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4">
            <w:pPr>
              <w:jc w:val="both"/>
              <w:rPr>
                <w:b w:val="1"/>
              </w:rPr>
            </w:pPr>
            <w:r w:rsidDel="00000000" w:rsidR="00000000" w:rsidRPr="00000000">
              <w:rPr>
                <w:b w:val="1"/>
                <w:rtl w:val="0"/>
              </w:rPr>
              <w:t xml:space="preserve">VISTO </w:t>
            </w:r>
          </w:p>
        </w:tc>
        <w:tc>
          <w:tcPr>
            <w:shd w:fill="auto" w:val="clear"/>
            <w:tcMar>
              <w:top w:w="100.0" w:type="dxa"/>
              <w:left w:w="100.0" w:type="dxa"/>
              <w:bottom w:w="100.0" w:type="dxa"/>
              <w:right w:w="100.0" w:type="dxa"/>
            </w:tcMar>
          </w:tcPr>
          <w:p w:rsidR="00000000" w:rsidDel="00000000" w:rsidP="00000000" w:rsidRDefault="00000000" w:rsidRPr="00000000" w14:paraId="00000025">
            <w:pPr>
              <w:jc w:val="both"/>
              <w:rPr/>
            </w:pPr>
            <w:r w:rsidDel="00000000" w:rsidR="00000000" w:rsidRPr="00000000">
              <w:rPr>
                <w:rtl w:val="0"/>
              </w:rPr>
              <w:t xml:space="preserve">L’articolo 31 c. 1 del D.L. n. 41/2021 “Decreto Sostegni” che prevede un finanziamento straordinario per supportare le scuole nella gestione del periodo di emergenza sanitaria;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6">
            <w:pPr>
              <w:jc w:val="both"/>
              <w:rPr>
                <w:b w:val="1"/>
              </w:rPr>
            </w:pPr>
            <w:r w:rsidDel="00000000" w:rsidR="00000000" w:rsidRPr="00000000">
              <w:rPr>
                <w:b w:val="1"/>
                <w:rtl w:val="0"/>
              </w:rPr>
              <w:t xml:space="preserve">VISTI</w:t>
            </w:r>
          </w:p>
        </w:tc>
        <w:tc>
          <w:tcPr>
            <w:shd w:fill="auto" w:val="clear"/>
            <w:tcMar>
              <w:top w:w="100.0" w:type="dxa"/>
              <w:left w:w="100.0" w:type="dxa"/>
              <w:bottom w:w="100.0" w:type="dxa"/>
              <w:right w:w="100.0" w:type="dxa"/>
            </w:tcMar>
          </w:tcPr>
          <w:p w:rsidR="00000000" w:rsidDel="00000000" w:rsidP="00000000" w:rsidRDefault="00000000" w:rsidRPr="00000000" w14:paraId="00000027">
            <w:pPr>
              <w:jc w:val="both"/>
              <w:rPr/>
            </w:pPr>
            <w:r w:rsidDel="00000000" w:rsidR="00000000" w:rsidRPr="00000000">
              <w:rPr>
                <w:rtl w:val="0"/>
              </w:rPr>
              <w:t xml:space="preserve">i recenti Decreti del Governo in materia di contenimento e gestione dell’emergenza epidemiologica da COVID-19, applicabili sull’intero territorio nazionale e le recenti note del Ministero dell’Istruzione con le quali vengono impartite alle istituzioni scolastiche disposizioni applicative delle suddette norme;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8">
            <w:pPr>
              <w:jc w:val="both"/>
              <w:rPr>
                <w:b w:val="1"/>
              </w:rPr>
            </w:pPr>
            <w:r w:rsidDel="00000000" w:rsidR="00000000" w:rsidRPr="00000000">
              <w:rPr>
                <w:b w:val="1"/>
                <w:rtl w:val="0"/>
              </w:rPr>
              <w:t xml:space="preserve">CONSIDERATO</w:t>
            </w:r>
          </w:p>
        </w:tc>
        <w:tc>
          <w:tcPr>
            <w:shd w:fill="auto" w:val="clear"/>
            <w:tcMar>
              <w:top w:w="100.0" w:type="dxa"/>
              <w:left w:w="100.0" w:type="dxa"/>
              <w:bottom w:w="100.0" w:type="dxa"/>
              <w:right w:w="100.0" w:type="dxa"/>
            </w:tcMar>
          </w:tcPr>
          <w:p w:rsidR="00000000" w:rsidDel="00000000" w:rsidP="00000000" w:rsidRDefault="00000000" w:rsidRPr="00000000" w14:paraId="00000029">
            <w:pPr>
              <w:jc w:val="both"/>
              <w:rPr/>
            </w:pPr>
            <w:r w:rsidDel="00000000" w:rsidR="00000000" w:rsidRPr="00000000">
              <w:rPr>
                <w:rtl w:val="0"/>
              </w:rPr>
              <w:t xml:space="preserve">che la scuola s’impegna a contrastare la diffusione del contagio da COVID – 19, in maniera complementare, nell’ambito della più ampia politica nazionale sulle misure sanitarie;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jc w:val="both"/>
              <w:rPr>
                <w:b w:val="1"/>
              </w:rPr>
            </w:pPr>
            <w:r w:rsidDel="00000000" w:rsidR="00000000" w:rsidRPr="00000000">
              <w:rPr>
                <w:b w:val="1"/>
                <w:rtl w:val="0"/>
              </w:rPr>
              <w:t xml:space="preserve">CONSIDERATA</w:t>
            </w:r>
          </w:p>
        </w:tc>
        <w:tc>
          <w:tcPr>
            <w:shd w:fill="auto" w:val="clear"/>
            <w:tcMar>
              <w:top w:w="100.0" w:type="dxa"/>
              <w:left w:w="100.0" w:type="dxa"/>
              <w:bottom w:w="100.0" w:type="dxa"/>
              <w:right w:w="100.0" w:type="dxa"/>
            </w:tcMar>
          </w:tcPr>
          <w:p w:rsidR="00000000" w:rsidDel="00000000" w:rsidP="00000000" w:rsidRDefault="00000000" w:rsidRPr="00000000" w14:paraId="0000002B">
            <w:pPr>
              <w:jc w:val="both"/>
              <w:rPr/>
            </w:pPr>
            <w:r w:rsidDel="00000000" w:rsidR="00000000" w:rsidRPr="00000000">
              <w:rPr>
                <w:rtl w:val="0"/>
              </w:rPr>
              <w:t xml:space="preserve">La necessità di acquistare materiale di pulizia per l’effettuazione delle pulizie ordinarie e straordinarie degli spazi scolastici  e oggetti ivi contenuti;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jc w:val="both"/>
              <w:rPr>
                <w:b w:val="1"/>
              </w:rPr>
            </w:pPr>
            <w:r w:rsidDel="00000000" w:rsidR="00000000" w:rsidRPr="00000000">
              <w:rPr>
                <w:b w:val="1"/>
                <w:rtl w:val="0"/>
              </w:rPr>
              <w:t xml:space="preserve">TENUTO CONTO</w:t>
            </w:r>
          </w:p>
        </w:tc>
        <w:tc>
          <w:tcPr>
            <w:shd w:fill="auto" w:val="clear"/>
            <w:tcMar>
              <w:top w:w="100.0" w:type="dxa"/>
              <w:left w:w="100.0" w:type="dxa"/>
              <w:bottom w:w="100.0" w:type="dxa"/>
              <w:right w:w="100.0" w:type="dxa"/>
            </w:tcMar>
          </w:tcPr>
          <w:p w:rsidR="00000000" w:rsidDel="00000000" w:rsidP="00000000" w:rsidRDefault="00000000" w:rsidRPr="00000000" w14:paraId="0000002D">
            <w:pPr>
              <w:jc w:val="both"/>
              <w:rPr/>
            </w:pPr>
            <w:r w:rsidDel="00000000" w:rsidR="00000000" w:rsidRPr="00000000">
              <w:rPr>
                <w:rtl w:val="0"/>
              </w:rPr>
              <w:t xml:space="preserve">Dei consumi effettuati dall’inizio dell’anno scolastico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jc w:val="both"/>
              <w:rPr>
                <w:b w:val="1"/>
              </w:rPr>
            </w:pPr>
            <w:r w:rsidDel="00000000" w:rsidR="00000000" w:rsidRPr="00000000">
              <w:rPr>
                <w:b w:val="1"/>
                <w:rtl w:val="0"/>
              </w:rPr>
              <w:t xml:space="preserve">CONSIDERATA  </w:t>
            </w:r>
          </w:p>
        </w:tc>
        <w:tc>
          <w:tcPr>
            <w:shd w:fill="auto" w:val="clear"/>
            <w:tcMar>
              <w:top w:w="100.0" w:type="dxa"/>
              <w:left w:w="100.0" w:type="dxa"/>
              <w:bottom w:w="100.0" w:type="dxa"/>
              <w:right w:w="100.0" w:type="dxa"/>
            </w:tcMar>
          </w:tcPr>
          <w:p w:rsidR="00000000" w:rsidDel="00000000" w:rsidP="00000000" w:rsidRDefault="00000000" w:rsidRPr="00000000" w14:paraId="0000002F">
            <w:pPr>
              <w:jc w:val="both"/>
              <w:rPr/>
            </w:pPr>
            <w:r w:rsidDel="00000000" w:rsidR="00000000" w:rsidRPr="00000000">
              <w:rPr>
                <w:rtl w:val="0"/>
              </w:rPr>
              <w:t xml:space="preserve">La necessità di impegnare i fondi erogati a questa Istituzione scolastica in base all’ articolo 31 c. 1 del D.L. n. 41/2021 “Decreto Sostegni” entro il 31/12/2021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jc w:val="both"/>
              <w:rPr>
                <w:b w:val="1"/>
              </w:rPr>
            </w:pPr>
            <w:r w:rsidDel="00000000" w:rsidR="00000000" w:rsidRPr="00000000">
              <w:rPr>
                <w:b w:val="1"/>
                <w:rtl w:val="0"/>
              </w:rPr>
              <w:t xml:space="preserve">RITENUTO OPPORTUNO</w:t>
            </w:r>
          </w:p>
        </w:tc>
        <w:tc>
          <w:tcPr>
            <w:shd w:fill="auto" w:val="clear"/>
            <w:tcMar>
              <w:top w:w="100.0" w:type="dxa"/>
              <w:left w:w="100.0" w:type="dxa"/>
              <w:bottom w:w="100.0" w:type="dxa"/>
              <w:right w:w="100.0" w:type="dxa"/>
            </w:tcMar>
          </w:tcPr>
          <w:p w:rsidR="00000000" w:rsidDel="00000000" w:rsidP="00000000" w:rsidRDefault="00000000" w:rsidRPr="00000000" w14:paraId="00000031">
            <w:pPr>
              <w:jc w:val="both"/>
              <w:rPr/>
            </w:pPr>
            <w:r w:rsidDel="00000000" w:rsidR="00000000" w:rsidRPr="00000000">
              <w:rPr>
                <w:rtl w:val="0"/>
              </w:rPr>
              <w:t xml:space="preserve">continuare a rifornirsi dalla ditta Ruggeri Srl  - Via Saragat 16 Spoleto , individuata come miglior fornitore per l’acquisto di prodotti igienico-sanitari e materiale di pulizia, in seguito alla  procedura negoziale esperita dalla scuola, con risultato di  aggiudicazione definitiva fino al 31/12/2021, (prot. n. 2345 del 17/03/2021);</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jc w:val="both"/>
              <w:rPr>
                <w:b w:val="1"/>
              </w:rPr>
            </w:pPr>
            <w:r w:rsidDel="00000000" w:rsidR="00000000" w:rsidRPr="00000000">
              <w:rPr>
                <w:b w:val="1"/>
                <w:rtl w:val="0"/>
              </w:rPr>
              <w:t xml:space="preserve">DATO ATTO</w:t>
            </w:r>
          </w:p>
        </w:tc>
        <w:tc>
          <w:tcPr>
            <w:shd w:fill="auto" w:val="clear"/>
            <w:tcMar>
              <w:top w:w="100.0" w:type="dxa"/>
              <w:left w:w="100.0" w:type="dxa"/>
              <w:bottom w:w="100.0" w:type="dxa"/>
              <w:right w:w="100.0" w:type="dxa"/>
            </w:tcMar>
          </w:tcPr>
          <w:p w:rsidR="00000000" w:rsidDel="00000000" w:rsidP="00000000" w:rsidRDefault="00000000" w:rsidRPr="00000000" w14:paraId="00000033">
            <w:pPr>
              <w:ind w:left="-60" w:firstLine="0"/>
              <w:jc w:val="both"/>
              <w:rPr/>
            </w:pPr>
            <w:r w:rsidDel="00000000" w:rsidR="00000000" w:rsidRPr="00000000">
              <w:rPr>
                <w:rtl w:val="0"/>
              </w:rPr>
              <w:t xml:space="preserve">della non esistenza di Convenzioni Consip attive in merito a tale merceologia;</w:t>
            </w:r>
          </w:p>
        </w:tc>
      </w:tr>
    </w:tbl>
    <w:p w:rsidR="00000000" w:rsidDel="00000000" w:rsidP="00000000" w:rsidRDefault="00000000" w:rsidRPr="00000000" w14:paraId="00000034">
      <w:pPr>
        <w:jc w:val="center"/>
        <w:rPr>
          <w:b w:val="1"/>
        </w:rPr>
      </w:pPr>
      <w:r w:rsidDel="00000000" w:rsidR="00000000" w:rsidRPr="00000000">
        <w:rPr>
          <w:b w:val="1"/>
          <w:rtl w:val="0"/>
        </w:rPr>
        <w:t xml:space="preserve">DETERMINA</w:t>
      </w:r>
    </w:p>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Per i motivi espressi nella premessa, che si intendono integralmente richiamati:</w:t>
      </w:r>
    </w:p>
    <w:p w:rsidR="00000000" w:rsidDel="00000000" w:rsidP="00000000" w:rsidRDefault="00000000" w:rsidRPr="00000000" w14:paraId="00000037">
      <w:pPr>
        <w:jc w:val="center"/>
        <w:rPr>
          <w:b w:val="1"/>
        </w:rPr>
      </w:pPr>
      <w:r w:rsidDel="00000000" w:rsidR="00000000" w:rsidRPr="00000000">
        <w:rPr>
          <w:rtl w:val="0"/>
        </w:rPr>
      </w:r>
    </w:p>
    <w:p w:rsidR="00000000" w:rsidDel="00000000" w:rsidP="00000000" w:rsidRDefault="00000000" w:rsidRPr="00000000" w14:paraId="00000038">
      <w:pPr>
        <w:numPr>
          <w:ilvl w:val="0"/>
          <w:numId w:val="1"/>
        </w:numPr>
        <w:spacing w:line="276" w:lineRule="auto"/>
        <w:ind w:left="720" w:hanging="360"/>
        <w:jc w:val="both"/>
        <w:rPr/>
      </w:pPr>
      <w:r w:rsidDel="00000000" w:rsidR="00000000" w:rsidRPr="00000000">
        <w:rPr>
          <w:rtl w:val="0"/>
        </w:rPr>
        <w:t xml:space="preserve">di autorizzare, ai sensi dell’art. 36, comma 2, lett. a) del D.Lgs. 50/2016, l’affidamento diretto, della fornitura avente ad oggetto Materiale di Pulizia alla Ditta Ruggeri SRL, individuata nella procedura   per l’importo di Euro 5958.00 (IVA compresa), con consegne da effettuare nel mese di novembre 2021, febbraio 2022 e aprile 2022.</w:t>
      </w:r>
    </w:p>
    <w:p w:rsidR="00000000" w:rsidDel="00000000" w:rsidP="00000000" w:rsidRDefault="00000000" w:rsidRPr="00000000" w14:paraId="00000039">
      <w:pPr>
        <w:numPr>
          <w:ilvl w:val="0"/>
          <w:numId w:val="1"/>
        </w:numPr>
        <w:spacing w:line="276" w:lineRule="auto"/>
        <w:ind w:left="720" w:hanging="360"/>
        <w:jc w:val="both"/>
        <w:rPr/>
      </w:pPr>
      <w:r w:rsidDel="00000000" w:rsidR="00000000" w:rsidRPr="00000000">
        <w:rPr>
          <w:rtl w:val="0"/>
        </w:rPr>
        <w:t xml:space="preserve">di autorizzare la spesa complessiva €</w:t>
      </w:r>
      <w:r w:rsidDel="00000000" w:rsidR="00000000" w:rsidRPr="00000000">
        <w:rPr>
          <w:highlight w:val="white"/>
          <w:rtl w:val="0"/>
        </w:rPr>
        <w:t xml:space="preserve"> </w:t>
      </w:r>
      <w:r w:rsidDel="00000000" w:rsidR="00000000" w:rsidRPr="00000000">
        <w:rPr>
          <w:rtl w:val="0"/>
        </w:rPr>
        <w:t xml:space="preserve">5958.00  IVA inclusa da imputare all’aggregato A 1.6 per Euro 5759.17,</w:t>
      </w:r>
      <w:r w:rsidDel="00000000" w:rsidR="00000000" w:rsidRPr="00000000">
        <w:rPr>
          <w:shd w:fill="f9f9f9" w:val="clear"/>
          <w:rtl w:val="0"/>
        </w:rPr>
        <w:t xml:space="preserve"> e all’aggregato A1.4 per la parte rimanente dell’esercizio finanziario 2021;</w:t>
      </w:r>
    </w:p>
    <w:p w:rsidR="00000000" w:rsidDel="00000000" w:rsidP="00000000" w:rsidRDefault="00000000" w:rsidRPr="00000000" w14:paraId="0000003A">
      <w:pPr>
        <w:numPr>
          <w:ilvl w:val="0"/>
          <w:numId w:val="1"/>
        </w:numPr>
        <w:spacing w:line="276" w:lineRule="auto"/>
        <w:ind w:left="720" w:hanging="360"/>
        <w:jc w:val="both"/>
        <w:rPr/>
      </w:pPr>
      <w:r w:rsidDel="00000000" w:rsidR="00000000" w:rsidRPr="00000000">
        <w:rPr>
          <w:rtl w:val="0"/>
        </w:rPr>
        <w:t xml:space="preserve">Ai sensi dell’art. 31 del D.Lgs 50/2016, viene individuato responsabile unico del procedimento il Dsga, dott.ssa Maddalena Bartoloni</w:t>
      </w:r>
    </w:p>
    <w:p w:rsidR="00000000" w:rsidDel="00000000" w:rsidP="00000000" w:rsidRDefault="00000000" w:rsidRPr="00000000" w14:paraId="0000003B">
      <w:pPr>
        <w:numPr>
          <w:ilvl w:val="0"/>
          <w:numId w:val="1"/>
        </w:numPr>
        <w:spacing w:line="276" w:lineRule="auto"/>
        <w:ind w:left="720" w:hanging="360"/>
        <w:jc w:val="both"/>
        <w:rPr/>
      </w:pPr>
      <w:r w:rsidDel="00000000" w:rsidR="00000000" w:rsidRPr="00000000">
        <w:rPr>
          <w:rtl w:val="0"/>
        </w:rPr>
        <w:t xml:space="preserve">Di dare atto che la presente determina sarà pubblicata all’albo on-line dell’Istituzione scolastica  all’indirizzo web:  </w:t>
      </w:r>
      <w:hyperlink r:id="rId13">
        <w:r w:rsidDel="00000000" w:rsidR="00000000" w:rsidRPr="00000000">
          <w:rPr>
            <w:color w:val="1155cc"/>
            <w:u w:val="single"/>
            <w:rtl w:val="0"/>
          </w:rPr>
          <w:t xml:space="preserve">https://www.2circolospoleto.edu.it/jm4/</w:t>
        </w:r>
      </w:hyperlink>
      <w:r w:rsidDel="00000000" w:rsidR="00000000" w:rsidRPr="00000000">
        <w:rPr>
          <w:rtl w:val="0"/>
        </w:rPr>
      </w:r>
    </w:p>
    <w:p w:rsidR="00000000" w:rsidDel="00000000" w:rsidP="00000000" w:rsidRDefault="00000000" w:rsidRPr="00000000" w14:paraId="0000003C">
      <w:pPr>
        <w:tabs>
          <w:tab w:val="left" w:pos="7086"/>
        </w:tabs>
        <w:jc w:val="both"/>
        <w:rPr/>
      </w:pPr>
      <w:r w:rsidDel="00000000" w:rsidR="00000000" w:rsidRPr="00000000">
        <w:rPr>
          <w:rtl w:val="0"/>
        </w:rPr>
        <w:tab/>
        <w:t xml:space="preserve">La dirigente scolastica</w:t>
      </w:r>
    </w:p>
    <w:p w:rsidR="00000000" w:rsidDel="00000000" w:rsidP="00000000" w:rsidRDefault="00000000" w:rsidRPr="00000000" w14:paraId="0000003D">
      <w:pPr>
        <w:tabs>
          <w:tab w:val="center" w:pos="8220"/>
        </w:tabs>
        <w:jc w:val="both"/>
        <w:rPr/>
      </w:pPr>
      <w:r w:rsidDel="00000000" w:rsidR="00000000" w:rsidRPr="00000000">
        <w:rPr>
          <w:rtl w:val="0"/>
        </w:rPr>
        <w:tab/>
        <w:t xml:space="preserve">Prof.ssa Silvia Mattei</w:t>
      </w:r>
    </w:p>
    <w:sectPr>
      <w:footerReference r:id="rId14" w:type="default"/>
      <w:footerReference r:id="rId15" w:type="first"/>
      <w:pgSz w:h="16838" w:w="11906" w:orient="portrait"/>
      <w:pgMar w:bottom="397" w:top="425"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sans-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0.0" w:type="dxa"/>
        <w:left w:w="0.0" w:type="dxa"/>
        <w:bottom w:w="0.0" w:type="dxa"/>
        <w:right w:w="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character" w:styleId="Enfasigrassetto">
    <w:name w:val="Strong"/>
    <w:basedOn w:val="Carpredefinitoparagrafo"/>
    <w:uiPriority w:val="22"/>
    <w:qFormat w:val="1"/>
    <w:rsid w:val="000C7641"/>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azzettaufficiale.it/eli/id/2018/11/16/18G00155/sg" TargetMode="External"/><Relationship Id="rId10" Type="http://schemas.openxmlformats.org/officeDocument/2006/relationships/hyperlink" Target="https://www.gazzettaufficiale.it/eli/id/2001/05/09/001G0219/sg" TargetMode="External"/><Relationship Id="rId13" Type="http://schemas.openxmlformats.org/officeDocument/2006/relationships/hyperlink" Target="https://www.2circolospoleto.edu.it/jm4/" TargetMode="External"/><Relationship Id="rId12" Type="http://schemas.openxmlformats.org/officeDocument/2006/relationships/hyperlink" Target="https://www.gazzettaufficiale.it/atto/serie_generale/caricaDettaglioAtto/originario?atto.dataPubblicazioneGazzetta=2016-04-19&amp;atto.codiceRedazionale=16G000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zzettaufficiale.it/eli/id/1997/03/17/097G0099/sg"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PyHnwWkphOuBYoXFSLeue84LaQ==">AMUW2mVfQmVqiE9nLy8LJ146AM4316JZyOabukFJ0kqrcVyx4soi6FNbX0w5ZUOF9YqlNqz1dQScWpP/6jiha0t4g46TkFHZQX60RKgbwVaQ9FFf2bNXU1gt/4HAey45iXgTsd6KwztWc4QMqI6nivT4ZZyzpC/v2g==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2021-11-10T07:58:00Z</dcterms:created>
</cp:coreProperties>
</file>