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9D" w:rsidRDefault="00B1149D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E250B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sz w:val="24"/>
          <w:szCs w:val="24"/>
        </w:rPr>
        <w:t xml:space="preserve">La </w:t>
      </w:r>
      <w:r>
        <w:rPr>
          <w:rFonts w:ascii="Lexend" w:eastAsia="Lexend" w:hAnsi="Lexend" w:cs="Lexend"/>
          <w:b/>
          <w:sz w:val="24"/>
          <w:szCs w:val="24"/>
        </w:rPr>
        <w:t>Segreteria Nazionale e le Segreterie Provinciali</w:t>
      </w:r>
      <w:r>
        <w:rPr>
          <w:rFonts w:ascii="Lexend" w:eastAsia="Lexend" w:hAnsi="Lexend" w:cs="Lexend"/>
          <w:sz w:val="24"/>
          <w:szCs w:val="24"/>
        </w:rPr>
        <w:t xml:space="preserve"> dello SNALS-CONFSAL mettono a disposizione un </w:t>
      </w:r>
      <w:r>
        <w:rPr>
          <w:rFonts w:ascii="Lexend" w:eastAsia="Lexend" w:hAnsi="Lexend" w:cs="Lexend"/>
          <w:b/>
          <w:sz w:val="24"/>
          <w:szCs w:val="24"/>
          <w:u w:val="single"/>
        </w:rPr>
        <w:t>servizio gratuito</w:t>
      </w:r>
      <w:r>
        <w:rPr>
          <w:rFonts w:ascii="Lexend" w:eastAsia="Lexend" w:hAnsi="Lexend" w:cs="Lexend"/>
          <w:sz w:val="24"/>
          <w:szCs w:val="24"/>
        </w:rPr>
        <w:t xml:space="preserve"> (</w:t>
      </w:r>
      <w:r>
        <w:rPr>
          <w:rFonts w:ascii="Lexend" w:eastAsia="Lexend" w:hAnsi="Lexend" w:cs="Lexend"/>
          <w:i/>
          <w:sz w:val="24"/>
          <w:szCs w:val="24"/>
        </w:rPr>
        <w:t xml:space="preserve">SOS PASSWEB) </w:t>
      </w:r>
      <w:r>
        <w:rPr>
          <w:rFonts w:ascii="Lexend" w:eastAsia="Lexend" w:hAnsi="Lexend" w:cs="Lexend"/>
          <w:sz w:val="24"/>
          <w:szCs w:val="24"/>
        </w:rPr>
        <w:t xml:space="preserve">di consulenza tecnico-giuridica e di assistenza operativa  per la lavorazione delle posizioni assicurative del personale dipendente tramite la piattaforma telematica </w:t>
      </w:r>
      <w:r>
        <w:rPr>
          <w:rFonts w:ascii="Lexend" w:eastAsia="Lexend" w:hAnsi="Lexend" w:cs="Lexend"/>
          <w:i/>
          <w:sz w:val="24"/>
          <w:szCs w:val="24"/>
        </w:rPr>
        <w:t xml:space="preserve">Nuova </w:t>
      </w:r>
      <w:proofErr w:type="spellStart"/>
      <w:r>
        <w:rPr>
          <w:rFonts w:ascii="Lexend" w:eastAsia="Lexend" w:hAnsi="Lexend" w:cs="Lexend"/>
          <w:i/>
          <w:sz w:val="24"/>
          <w:szCs w:val="24"/>
        </w:rPr>
        <w:t>Passwe</w:t>
      </w:r>
      <w:r>
        <w:rPr>
          <w:rFonts w:ascii="Lexend" w:eastAsia="Lexend" w:hAnsi="Lexend" w:cs="Lexend"/>
          <w:sz w:val="24"/>
          <w:szCs w:val="24"/>
        </w:rPr>
        <w:t>b</w:t>
      </w:r>
      <w:proofErr w:type="spellEnd"/>
      <w:r>
        <w:rPr>
          <w:rFonts w:ascii="Lexend" w:eastAsia="Lexend" w:hAnsi="Lexend" w:cs="Lexend"/>
          <w:sz w:val="24"/>
          <w:szCs w:val="24"/>
        </w:rPr>
        <w:t>, in applicazione delle disposizioni normative in materia di semplificazione e decentramento amministrativo (L. 59/97 - DPR n. 165/2001).</w:t>
      </w: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bookmarkStart w:id="0" w:name="_heading=h.3yiqoxmvg82u" w:colFirst="0" w:colLast="0"/>
      <w:bookmarkEnd w:id="0"/>
    </w:p>
    <w:p w:rsidR="00B1149D" w:rsidRDefault="00E250B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bookmarkStart w:id="1" w:name="_heading=h.ajj4ml45d5fk" w:colFirst="0" w:colLast="0"/>
      <w:bookmarkEnd w:id="1"/>
      <w:r>
        <w:rPr>
          <w:rFonts w:ascii="Lexend" w:eastAsia="Lexend" w:hAnsi="Lexend" w:cs="Lexend"/>
          <w:sz w:val="24"/>
          <w:szCs w:val="24"/>
        </w:rPr>
        <w:t xml:space="preserve">Il Progetto </w:t>
      </w:r>
      <w:r>
        <w:rPr>
          <w:rFonts w:ascii="Lexend" w:eastAsia="Lexend" w:hAnsi="Lexend" w:cs="Lexend"/>
          <w:i/>
          <w:sz w:val="24"/>
          <w:szCs w:val="24"/>
        </w:rPr>
        <w:t>SOS PASSWEB</w:t>
      </w:r>
      <w:r>
        <w:rPr>
          <w:rFonts w:ascii="Lexend" w:eastAsia="Lexend" w:hAnsi="Lexend" w:cs="Lexend"/>
          <w:sz w:val="24"/>
          <w:szCs w:val="24"/>
        </w:rPr>
        <w:t xml:space="preserve"> intende fornire un prezioso aiuto a fronte delle criticità che si riscontrano nell’espletamento di tali complesse procedure, dal semplice controllo e inserimento delle informazioni, fino al completamento della pratica con successivo invio all’INPS.</w:t>
      </w: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bookmarkStart w:id="2" w:name="_heading=h.yzx9wf5gmm0q" w:colFirst="0" w:colLast="0"/>
      <w:bookmarkEnd w:id="2"/>
    </w:p>
    <w:p w:rsidR="00B1149D" w:rsidRDefault="00E250B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sz w:val="24"/>
          <w:szCs w:val="24"/>
        </w:rPr>
        <w:t>Il Progetto si articola in attività di:</w:t>
      </w:r>
    </w:p>
    <w:p w:rsidR="00B1149D" w:rsidRDefault="00E250BD">
      <w:pPr>
        <w:spacing w:line="264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19685</wp:posOffset>
            </wp:positionH>
            <wp:positionV relativeFrom="paragraph">
              <wp:posOffset>133189</wp:posOffset>
            </wp:positionV>
            <wp:extent cx="1385247" cy="366742"/>
            <wp:effectExtent l="0" t="0" r="0" b="0"/>
            <wp:wrapNone/>
            <wp:docPr id="3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47" cy="366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9D" w:rsidRDefault="00E250BD">
      <w:pPr>
        <w:spacing w:line="264" w:lineRule="auto"/>
        <w:ind w:left="720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b/>
          <w:color w:val="FFFFFF"/>
          <w:sz w:val="24"/>
          <w:szCs w:val="24"/>
        </w:rPr>
        <w:t xml:space="preserve">consulenza </w:t>
      </w:r>
      <w:r>
        <w:rPr>
          <w:rFonts w:ascii="Lexend" w:eastAsia="Lexend" w:hAnsi="Lexend" w:cs="Lexend"/>
          <w:sz w:val="24"/>
          <w:szCs w:val="24"/>
        </w:rPr>
        <w:tab/>
        <w:t xml:space="preserve"> normo/giuridica e tecnico pratica in materia pensionistica e previdenziale;</w:t>
      </w:r>
    </w:p>
    <w:p w:rsidR="00B1149D" w:rsidRDefault="00E250BD">
      <w:pPr>
        <w:spacing w:line="264" w:lineRule="auto"/>
        <w:ind w:left="720"/>
        <w:jc w:val="both"/>
        <w:rPr>
          <w:rFonts w:ascii="Lexend" w:eastAsia="Lexend" w:hAnsi="Lexend" w:cs="Lexend"/>
          <w:sz w:val="24"/>
          <w:szCs w:val="24"/>
        </w:rPr>
      </w:pPr>
      <w:r>
        <w:rPr>
          <w:noProof/>
          <w:lang w:val="it-IT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21590</wp:posOffset>
            </wp:positionH>
            <wp:positionV relativeFrom="paragraph">
              <wp:posOffset>142714</wp:posOffset>
            </wp:positionV>
            <wp:extent cx="1384935" cy="366395"/>
            <wp:effectExtent l="0" t="0" r="0" b="0"/>
            <wp:wrapNone/>
            <wp:docPr id="3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366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9D" w:rsidRDefault="00E250BD">
      <w:pPr>
        <w:spacing w:line="264" w:lineRule="auto"/>
        <w:ind w:left="720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b/>
          <w:color w:val="FFFFFF"/>
          <w:sz w:val="24"/>
          <w:szCs w:val="24"/>
        </w:rPr>
        <w:t>assistenza</w:t>
      </w:r>
      <w:r>
        <w:rPr>
          <w:rFonts w:ascii="Lexend" w:eastAsia="Lexend" w:hAnsi="Lexend" w:cs="Lexend"/>
          <w:sz w:val="24"/>
          <w:szCs w:val="24"/>
        </w:rPr>
        <w:t xml:space="preserve"> </w:t>
      </w:r>
      <w:r>
        <w:rPr>
          <w:rFonts w:ascii="Lexend" w:eastAsia="Lexend" w:hAnsi="Lexend" w:cs="Lexend"/>
          <w:sz w:val="24"/>
          <w:szCs w:val="24"/>
        </w:rPr>
        <w:tab/>
        <w:t xml:space="preserve"> per la lavorazione delle posizioni assicurative dei dipendenti in </w:t>
      </w:r>
      <w:proofErr w:type="spellStart"/>
      <w:r>
        <w:rPr>
          <w:rFonts w:ascii="Lexend" w:eastAsia="Lexend" w:hAnsi="Lexend" w:cs="Lexend"/>
          <w:sz w:val="24"/>
          <w:szCs w:val="24"/>
        </w:rPr>
        <w:t>Passweb</w:t>
      </w:r>
      <w:proofErr w:type="spellEnd"/>
      <w:r>
        <w:rPr>
          <w:rFonts w:ascii="Lexend" w:eastAsia="Lexend" w:hAnsi="Lexend" w:cs="Lexend"/>
          <w:sz w:val="24"/>
          <w:szCs w:val="24"/>
        </w:rPr>
        <w:t xml:space="preserve">  ai fini pensionistici, sistemazione RVPA, TFS e TFR telematico;</w:t>
      </w:r>
    </w:p>
    <w:p w:rsidR="00B1149D" w:rsidRDefault="00E250BD">
      <w:pPr>
        <w:spacing w:line="264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noProof/>
          <w:lang w:val="it-IT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47625</wp:posOffset>
            </wp:positionH>
            <wp:positionV relativeFrom="paragraph">
              <wp:posOffset>133189</wp:posOffset>
            </wp:positionV>
            <wp:extent cx="1557338" cy="361950"/>
            <wp:effectExtent l="0" t="0" r="0" b="0"/>
            <wp:wrapNone/>
            <wp:docPr id="3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9D" w:rsidRDefault="00E250BD">
      <w:pPr>
        <w:spacing w:line="264" w:lineRule="auto"/>
        <w:ind w:left="720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b/>
          <w:color w:val="FFFFFF"/>
          <w:sz w:val="24"/>
          <w:szCs w:val="24"/>
        </w:rPr>
        <w:t>informazione</w:t>
      </w:r>
      <w:r>
        <w:rPr>
          <w:rFonts w:ascii="Lexend" w:eastAsia="Lexend" w:hAnsi="Lexend" w:cs="Lexend"/>
          <w:color w:val="FFFFFF"/>
          <w:sz w:val="24"/>
          <w:szCs w:val="24"/>
        </w:rPr>
        <w:t xml:space="preserve">  </w:t>
      </w:r>
      <w:r>
        <w:rPr>
          <w:rFonts w:ascii="Lexend" w:eastAsia="Lexend" w:hAnsi="Lexend" w:cs="Lexend"/>
          <w:sz w:val="24"/>
          <w:szCs w:val="24"/>
        </w:rPr>
        <w:t>specifica sulle procedure di abilitazione alla piattaforma SIN2 (</w:t>
      </w:r>
      <w:r>
        <w:rPr>
          <w:rFonts w:ascii="Lexend" w:eastAsia="Lexend" w:hAnsi="Lexend" w:cs="Lexend"/>
          <w:i/>
          <w:sz w:val="24"/>
          <w:szCs w:val="24"/>
        </w:rPr>
        <w:t xml:space="preserve">Nuova </w:t>
      </w:r>
      <w:proofErr w:type="spellStart"/>
      <w:r>
        <w:rPr>
          <w:rFonts w:ascii="Lexend" w:eastAsia="Lexend" w:hAnsi="Lexend" w:cs="Lexend"/>
          <w:i/>
          <w:sz w:val="24"/>
          <w:szCs w:val="24"/>
        </w:rPr>
        <w:t>Passweb</w:t>
      </w:r>
      <w:proofErr w:type="spellEnd"/>
      <w:r>
        <w:rPr>
          <w:rFonts w:ascii="Lexend" w:eastAsia="Lexend" w:hAnsi="Lexend" w:cs="Lexend"/>
          <w:sz w:val="24"/>
          <w:szCs w:val="24"/>
        </w:rPr>
        <w:t>), sui servizi telematici Inps e sulla procedimentalizzazione delle attività di lavorazione in piattaforma.</w:t>
      </w: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  <w:u w:val="single"/>
        </w:rPr>
      </w:pPr>
    </w:p>
    <w:p w:rsidR="00B1149D" w:rsidRDefault="00B1149D">
      <w:pPr>
        <w:spacing w:line="240" w:lineRule="auto"/>
        <w:jc w:val="both"/>
        <w:rPr>
          <w:rFonts w:ascii="Lexend" w:eastAsia="Lexend" w:hAnsi="Lexend" w:cs="Lexend"/>
          <w:sz w:val="24"/>
          <w:szCs w:val="24"/>
          <w:u w:val="single"/>
        </w:rPr>
      </w:pPr>
    </w:p>
    <w:p w:rsidR="00B1149D" w:rsidRDefault="00E250BD">
      <w:pPr>
        <w:spacing w:line="240" w:lineRule="auto"/>
        <w:jc w:val="both"/>
        <w:rPr>
          <w:rFonts w:ascii="Lexend" w:eastAsia="Lexend" w:hAnsi="Lexend" w:cs="Lexend"/>
          <w:sz w:val="24"/>
          <w:szCs w:val="24"/>
          <w:u w:val="single"/>
        </w:rPr>
      </w:pPr>
      <w:r>
        <w:rPr>
          <w:rFonts w:ascii="Lexend" w:eastAsia="Lexend" w:hAnsi="Lexend" w:cs="Lexend"/>
          <w:sz w:val="24"/>
          <w:szCs w:val="24"/>
          <w:u w:val="single"/>
        </w:rPr>
        <w:t>Le azioni correlate:</w:t>
      </w:r>
    </w:p>
    <w:p w:rsidR="00B1149D" w:rsidRDefault="00E250BD">
      <w:pPr>
        <w:numPr>
          <w:ilvl w:val="0"/>
          <w:numId w:val="1"/>
        </w:numPr>
        <w:spacing w:before="12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Lexend" w:eastAsia="Lexend" w:hAnsi="Lexend" w:cs="Lexend"/>
          <w:b/>
          <w:sz w:val="24"/>
          <w:szCs w:val="24"/>
        </w:rPr>
        <w:t xml:space="preserve">Ricevere </w:t>
      </w:r>
      <w:r>
        <w:rPr>
          <w:rFonts w:ascii="Lexend" w:eastAsia="Lexend" w:hAnsi="Lexend" w:cs="Lexend"/>
          <w:sz w:val="24"/>
          <w:szCs w:val="24"/>
        </w:rPr>
        <w:t xml:space="preserve">assistenza per la lavorazione di posizioni assicurative dei dipendenti in </w:t>
      </w:r>
      <w:proofErr w:type="spellStart"/>
      <w:r>
        <w:rPr>
          <w:rFonts w:ascii="Lexend" w:eastAsia="Lexend" w:hAnsi="Lexend" w:cs="Lexend"/>
          <w:sz w:val="24"/>
          <w:szCs w:val="24"/>
        </w:rPr>
        <w:t>Passweb</w:t>
      </w:r>
      <w:proofErr w:type="spellEnd"/>
      <w:r>
        <w:rPr>
          <w:rFonts w:ascii="Lexend" w:eastAsia="Lexend" w:hAnsi="Lexend" w:cs="Lexend"/>
          <w:sz w:val="24"/>
          <w:szCs w:val="24"/>
        </w:rPr>
        <w:t xml:space="preserve"> attraverso sessioni di </w:t>
      </w:r>
      <w:r>
        <w:rPr>
          <w:rFonts w:ascii="Lexend" w:eastAsia="Lexend" w:hAnsi="Lexend" w:cs="Lexend"/>
          <w:b/>
          <w:sz w:val="24"/>
          <w:szCs w:val="24"/>
          <w:u w:val="single"/>
        </w:rPr>
        <w:t>consulenza personalizzata</w:t>
      </w:r>
      <w:r>
        <w:rPr>
          <w:noProof/>
          <w:lang w:val="it-IT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866775</wp:posOffset>
            </wp:positionH>
            <wp:positionV relativeFrom="paragraph">
              <wp:posOffset>452755</wp:posOffset>
            </wp:positionV>
            <wp:extent cx="3981450" cy="727710"/>
            <wp:effectExtent l="0" t="0" r="0" b="0"/>
            <wp:wrapNone/>
            <wp:docPr id="32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9D" w:rsidRDefault="007808C7">
      <w:pPr>
        <w:spacing w:before="300" w:line="240" w:lineRule="auto"/>
        <w:ind w:left="567"/>
        <w:jc w:val="center"/>
        <w:rPr>
          <w:rFonts w:ascii="Lexend" w:eastAsia="Lexend" w:hAnsi="Lexend" w:cs="Lexend"/>
          <w:b/>
          <w:i/>
          <w:color w:val="FFFFFF"/>
          <w:sz w:val="20"/>
          <w:szCs w:val="20"/>
        </w:rPr>
      </w:pPr>
      <w:hyperlink r:id="rId10">
        <w:r w:rsidR="00E250BD">
          <w:rPr>
            <w:rFonts w:ascii="Lexend" w:eastAsia="Lexend" w:hAnsi="Lexend" w:cs="Lexend"/>
            <w:b/>
            <w:i/>
            <w:color w:val="FFFFFF"/>
            <w:sz w:val="20"/>
            <w:szCs w:val="20"/>
            <w:u w:val="single"/>
          </w:rPr>
          <w:t>CLICCA QUI E PRENOTA LA TUA CONSULENZA</w:t>
        </w:r>
      </w:hyperlink>
    </w:p>
    <w:p w:rsidR="00B1149D" w:rsidRDefault="00B1149D">
      <w:pPr>
        <w:spacing w:before="120" w:line="240" w:lineRule="auto"/>
        <w:ind w:left="567"/>
        <w:rPr>
          <w:rFonts w:ascii="Lexend" w:eastAsia="Lexend" w:hAnsi="Lexend" w:cs="Lexend"/>
          <w:color w:val="FF0000"/>
          <w:sz w:val="24"/>
          <w:szCs w:val="24"/>
        </w:rPr>
      </w:pPr>
    </w:p>
    <w:p w:rsidR="00B1149D" w:rsidRDefault="00B1149D">
      <w:pPr>
        <w:spacing w:before="120" w:line="240" w:lineRule="auto"/>
        <w:ind w:left="567"/>
        <w:rPr>
          <w:rFonts w:ascii="Lexend" w:eastAsia="Lexend" w:hAnsi="Lexend" w:cs="Lexend"/>
          <w:color w:val="FF0000"/>
          <w:sz w:val="24"/>
          <w:szCs w:val="24"/>
        </w:rPr>
      </w:pPr>
    </w:p>
    <w:p w:rsidR="00B1149D" w:rsidRDefault="00E250BD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Lexend" w:eastAsia="Lexend" w:hAnsi="Lexend" w:cs="Lexend"/>
          <w:b/>
          <w:sz w:val="24"/>
          <w:szCs w:val="24"/>
        </w:rPr>
        <w:t>Partecipare a sessioni di (in)formazione</w:t>
      </w:r>
      <w:r>
        <w:rPr>
          <w:rFonts w:ascii="Lexend" w:eastAsia="Lexend" w:hAnsi="Lexend" w:cs="Lexend"/>
          <w:sz w:val="24"/>
          <w:szCs w:val="24"/>
        </w:rPr>
        <w:t xml:space="preserve"> attraverso </w:t>
      </w:r>
      <w:proofErr w:type="spellStart"/>
      <w:r>
        <w:rPr>
          <w:rFonts w:ascii="Lexend" w:eastAsia="Lexend" w:hAnsi="Lexend" w:cs="Lexend"/>
          <w:b/>
          <w:sz w:val="24"/>
          <w:szCs w:val="24"/>
        </w:rPr>
        <w:t>webinar</w:t>
      </w:r>
      <w:proofErr w:type="spellEnd"/>
      <w:r>
        <w:rPr>
          <w:rFonts w:ascii="Lexend" w:eastAsia="Lexend" w:hAnsi="Lexend" w:cs="Lexend"/>
          <w:b/>
          <w:sz w:val="24"/>
          <w:szCs w:val="24"/>
        </w:rPr>
        <w:t xml:space="preserve"> </w:t>
      </w:r>
      <w:r>
        <w:rPr>
          <w:rFonts w:ascii="Lexend" w:eastAsia="Lexend" w:hAnsi="Lexend" w:cs="Lexend"/>
          <w:sz w:val="24"/>
          <w:szCs w:val="24"/>
        </w:rPr>
        <w:t xml:space="preserve">sincroni che offrono la possibilità di approfondimento e workshop pratici (sistemazione posizioni per RVPA, Pensione, inserimento ultimo miglio TFS, invio Comunicazione cessazione TFS, TFR Telematico) </w:t>
      </w:r>
      <w:r>
        <w:rPr>
          <w:noProof/>
          <w:lang w:val="it-IT"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866775</wp:posOffset>
            </wp:positionH>
            <wp:positionV relativeFrom="paragraph">
              <wp:posOffset>845185</wp:posOffset>
            </wp:positionV>
            <wp:extent cx="4105275" cy="723900"/>
            <wp:effectExtent l="0" t="0" r="0" b="0"/>
            <wp:wrapNone/>
            <wp:docPr id="3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9D" w:rsidRDefault="007808C7">
      <w:pPr>
        <w:spacing w:before="300" w:line="240" w:lineRule="auto"/>
        <w:ind w:left="567"/>
        <w:jc w:val="center"/>
        <w:rPr>
          <w:rFonts w:ascii="Lexend" w:eastAsia="Lexend" w:hAnsi="Lexend" w:cs="Lexend"/>
          <w:b/>
          <w:i/>
          <w:color w:val="FFFFFF"/>
        </w:rPr>
      </w:pPr>
      <w:hyperlink r:id="rId11">
        <w:r w:rsidR="00E250BD">
          <w:rPr>
            <w:rFonts w:ascii="Lexend" w:eastAsia="Lexend" w:hAnsi="Lexend" w:cs="Lexend"/>
            <w:b/>
            <w:i/>
            <w:color w:val="FFFFFF"/>
            <w:u w:val="single"/>
          </w:rPr>
          <w:t>CLICCA QUI PER PARTECIPARE AI WEBINAR</w:t>
        </w:r>
      </w:hyperlink>
    </w:p>
    <w:p w:rsidR="00B1149D" w:rsidRDefault="00B1149D">
      <w:pPr>
        <w:spacing w:line="240" w:lineRule="auto"/>
        <w:ind w:left="567"/>
        <w:jc w:val="center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ind w:left="567"/>
        <w:jc w:val="center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spacing w:line="240" w:lineRule="auto"/>
        <w:ind w:left="567"/>
        <w:jc w:val="center"/>
        <w:rPr>
          <w:rFonts w:ascii="Lexend" w:eastAsia="Lexend" w:hAnsi="Lexend" w:cs="Lexend"/>
          <w:sz w:val="24"/>
          <w:szCs w:val="24"/>
        </w:rPr>
      </w:pPr>
    </w:p>
    <w:p w:rsidR="00B1149D" w:rsidRDefault="00E250BD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Lexend" w:eastAsia="Lexend" w:hAnsi="Lexend" w:cs="Lexend"/>
          <w:b/>
          <w:sz w:val="24"/>
          <w:szCs w:val="24"/>
        </w:rPr>
        <w:t>Approfondire</w:t>
      </w:r>
      <w:r>
        <w:rPr>
          <w:rFonts w:ascii="Lexend" w:eastAsia="Lexend" w:hAnsi="Lexend" w:cs="Lexend"/>
          <w:sz w:val="24"/>
          <w:szCs w:val="24"/>
        </w:rPr>
        <w:t xml:space="preserve"> </w:t>
      </w:r>
      <w:r>
        <w:rPr>
          <w:rFonts w:ascii="Lexend" w:eastAsia="Lexend" w:hAnsi="Lexend" w:cs="Lexend"/>
          <w:b/>
          <w:sz w:val="24"/>
          <w:szCs w:val="24"/>
        </w:rPr>
        <w:t>quesiti e fornire</w:t>
      </w:r>
      <w:r>
        <w:rPr>
          <w:rFonts w:ascii="Lexend" w:eastAsia="Lexend" w:hAnsi="Lexend" w:cs="Lexend"/>
          <w:sz w:val="24"/>
          <w:szCs w:val="24"/>
        </w:rPr>
        <w:t xml:space="preserve"> risposte e soluzioni a problematiche afferenti la lavorazione delle posizioni assicurative del personale dipendente  </w:t>
      </w:r>
      <w:r>
        <w:rPr>
          <w:noProof/>
          <w:lang w:val="it-IT"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866775</wp:posOffset>
            </wp:positionH>
            <wp:positionV relativeFrom="paragraph">
              <wp:posOffset>581025</wp:posOffset>
            </wp:positionV>
            <wp:extent cx="3981450" cy="727710"/>
            <wp:effectExtent l="0" t="0" r="0" b="0"/>
            <wp:wrapNone/>
            <wp:docPr id="3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1149D" w:rsidRDefault="007808C7">
      <w:pPr>
        <w:spacing w:before="300" w:line="240" w:lineRule="auto"/>
        <w:ind w:left="567"/>
        <w:jc w:val="center"/>
        <w:rPr>
          <w:rFonts w:ascii="Lexend" w:eastAsia="Lexend" w:hAnsi="Lexend" w:cs="Lexend"/>
          <w:b/>
          <w:i/>
          <w:color w:val="FFFFFF"/>
        </w:rPr>
      </w:pPr>
      <w:hyperlink r:id="rId12">
        <w:r w:rsidR="00E250BD">
          <w:rPr>
            <w:rFonts w:ascii="Lexend" w:eastAsia="Lexend" w:hAnsi="Lexend" w:cs="Lexend"/>
            <w:b/>
            <w:i/>
            <w:color w:val="FFFFFF"/>
            <w:u w:val="single"/>
          </w:rPr>
          <w:t>CLICCA QUI PER CONTATTARCI</w:t>
        </w:r>
      </w:hyperlink>
    </w:p>
    <w:p w:rsidR="00B1149D" w:rsidRDefault="00B1149D">
      <w:pPr>
        <w:spacing w:line="240" w:lineRule="auto"/>
        <w:ind w:left="567"/>
        <w:rPr>
          <w:rFonts w:ascii="Lexend" w:eastAsia="Lexend" w:hAnsi="Lexend" w:cs="Lexend"/>
          <w:sz w:val="24"/>
          <w:szCs w:val="24"/>
        </w:rPr>
      </w:pPr>
    </w:p>
    <w:p w:rsidR="00B1149D" w:rsidRDefault="00B1149D">
      <w:pPr>
        <w:widowControl w:val="0"/>
        <w:spacing w:line="240" w:lineRule="auto"/>
        <w:rPr>
          <w:rFonts w:ascii="Lexend" w:eastAsia="Lexend" w:hAnsi="Lexend" w:cs="Lexend"/>
          <w:sz w:val="24"/>
          <w:szCs w:val="24"/>
        </w:rPr>
      </w:pPr>
    </w:p>
    <w:p w:rsidR="00B1149D" w:rsidRDefault="00E250BD">
      <w:pPr>
        <w:widowControl w:val="0"/>
        <w:spacing w:line="240" w:lineRule="auto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sz w:val="24"/>
          <w:szCs w:val="24"/>
        </w:rPr>
        <w:t>Gli utenti avranno a disposizione in piattaforma  materiale didattico consultabile 24/7.</w:t>
      </w:r>
    </w:p>
    <w:p w:rsidR="00B1149D" w:rsidRDefault="00B1149D">
      <w:pPr>
        <w:ind w:left="567"/>
        <w:jc w:val="both"/>
        <w:rPr>
          <w:rFonts w:ascii="Lexend" w:eastAsia="Lexend" w:hAnsi="Lexend" w:cs="Lexend"/>
          <w:sz w:val="24"/>
          <w:szCs w:val="24"/>
        </w:rPr>
      </w:pPr>
      <w:bookmarkStart w:id="3" w:name="_heading=h.13qammnwx1gn" w:colFirst="0" w:colLast="0"/>
      <w:bookmarkEnd w:id="3"/>
    </w:p>
    <w:p w:rsidR="00B1149D" w:rsidRDefault="00B11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FF"/>
          <w:sz w:val="25"/>
          <w:szCs w:val="25"/>
        </w:rPr>
      </w:pPr>
      <w:bookmarkStart w:id="4" w:name="_heading=h.gjdgxs" w:colFirst="0" w:colLast="0"/>
      <w:bookmarkEnd w:id="4"/>
    </w:p>
    <w:p w:rsidR="00B1149D" w:rsidRDefault="00B11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Calibri" w:eastAsia="Calibri" w:hAnsi="Calibri" w:cs="Calibri"/>
          <w:color w:val="0000FF"/>
          <w:sz w:val="25"/>
          <w:szCs w:val="25"/>
        </w:rPr>
      </w:pPr>
    </w:p>
    <w:p w:rsidR="00B1149D" w:rsidRDefault="00E250BD">
      <w:pPr>
        <w:jc w:val="center"/>
        <w:rPr>
          <w:rFonts w:ascii="Calibri" w:eastAsia="Calibri" w:hAnsi="Calibri" w:cs="Calibri"/>
          <w:sz w:val="26"/>
          <w:szCs w:val="26"/>
        </w:rPr>
      </w:pPr>
      <w:bookmarkStart w:id="5" w:name="_heading=h.9idrwvhv6bf9" w:colFirst="0" w:colLast="0"/>
      <w:bookmarkEnd w:id="5"/>
      <w:r>
        <w:rPr>
          <w:rFonts w:ascii="Calibri" w:eastAsia="Calibri" w:hAnsi="Calibri" w:cs="Calibri"/>
          <w:noProof/>
          <w:sz w:val="26"/>
          <w:szCs w:val="26"/>
          <w:lang w:val="it-IT"/>
        </w:rPr>
        <w:drawing>
          <wp:inline distT="0" distB="0" distL="0" distR="0">
            <wp:extent cx="3314700" cy="391374"/>
            <wp:effectExtent l="0" t="0" r="0" b="0"/>
            <wp:docPr id="3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1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114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4925" w:right="1277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C7" w:rsidRDefault="007808C7">
      <w:pPr>
        <w:spacing w:line="240" w:lineRule="auto"/>
      </w:pPr>
      <w:r>
        <w:separator/>
      </w:r>
    </w:p>
  </w:endnote>
  <w:endnote w:type="continuationSeparator" w:id="0">
    <w:p w:rsidR="007808C7" w:rsidRDefault="00780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D" w:rsidRDefault="00B114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D" w:rsidRDefault="00E250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lang w:val="it-I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-549908</wp:posOffset>
          </wp:positionH>
          <wp:positionV relativeFrom="paragraph">
            <wp:posOffset>-273683</wp:posOffset>
          </wp:positionV>
          <wp:extent cx="1485265" cy="505460"/>
          <wp:effectExtent l="0" t="0" r="0" b="0"/>
          <wp:wrapSquare wrapText="bothSides" distT="0" distB="0" distL="114300" distR="114300"/>
          <wp:docPr id="3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265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D" w:rsidRDefault="00B114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C7" w:rsidRDefault="007808C7">
      <w:pPr>
        <w:spacing w:line="240" w:lineRule="auto"/>
      </w:pPr>
      <w:r>
        <w:separator/>
      </w:r>
    </w:p>
  </w:footnote>
  <w:footnote w:type="continuationSeparator" w:id="0">
    <w:p w:rsidR="007808C7" w:rsidRDefault="00780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D" w:rsidRDefault="00B114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D" w:rsidRDefault="00E250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-933448</wp:posOffset>
          </wp:positionH>
          <wp:positionV relativeFrom="paragraph">
            <wp:posOffset>-9523</wp:posOffset>
          </wp:positionV>
          <wp:extent cx="7570469" cy="10708551"/>
          <wp:effectExtent l="0" t="0" r="0" b="0"/>
          <wp:wrapNone/>
          <wp:docPr id="3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0469" cy="10708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149D" w:rsidRDefault="00E250BD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right="-43"/>
      <w:rPr>
        <w:color w:val="000000"/>
      </w:rPr>
    </w:pPr>
    <w:bookmarkStart w:id="6" w:name="_GoBack"/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1184275</wp:posOffset>
              </wp:positionV>
              <wp:extent cx="2667000" cy="638175"/>
              <wp:effectExtent l="0" t="0" r="0" b="9525"/>
              <wp:wrapNone/>
              <wp:docPr id="325" name="Rettangolo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149D" w:rsidRPr="000C0B59" w:rsidRDefault="000C0B59">
                          <w:pPr>
                            <w:spacing w:line="275" w:lineRule="auto"/>
                            <w:textDirection w:val="btLr"/>
                            <w:rPr>
                              <w:b/>
                              <w:color w:val="FFFFFF" w:themeColor="background1"/>
                            </w:rPr>
                          </w:pPr>
                          <w:r w:rsidRPr="000C0B59">
                            <w:rPr>
                              <w:b/>
                              <w:color w:val="FFFFFF" w:themeColor="background1"/>
                            </w:rPr>
                            <w:t>Segreteria Provinciale di PERUGIA</w:t>
                          </w:r>
                        </w:p>
                        <w:p w:rsidR="000C0B59" w:rsidRPr="000C0B59" w:rsidRDefault="000C0B59">
                          <w:pPr>
                            <w:spacing w:line="275" w:lineRule="auto"/>
                            <w:textDirection w:val="btLr"/>
                            <w:rPr>
                              <w:b/>
                              <w:color w:val="FFFFFF" w:themeColor="background1"/>
                            </w:rPr>
                          </w:pPr>
                          <w:r w:rsidRPr="000C0B59">
                            <w:rPr>
                              <w:b/>
                              <w:color w:val="FFFFFF" w:themeColor="background1"/>
                            </w:rPr>
                            <w:t>Tel. 075.31298 – 30834</w:t>
                          </w:r>
                        </w:p>
                        <w:p w:rsidR="000C0B59" w:rsidRPr="000C0B59" w:rsidRDefault="000C0B59">
                          <w:pPr>
                            <w:spacing w:line="275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0C0B59">
                            <w:rPr>
                              <w:b/>
                              <w:color w:val="FFFFFF" w:themeColor="background1"/>
                            </w:rPr>
                            <w:t>E-mail: umbria.pg@snals.it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325" o:spid="_x0000_s1026" style="position:absolute;margin-left:-43.5pt;margin-top:93.25pt;width:21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" filled="f" stroked="f">
              <v:textbox inset="2.53958mm,1.2694mm,2.53958mm,1.2694mm">
                <w:txbxContent>
                  <w:p w:rsidR="00B1149D" w:rsidRPr="000C0B59" w:rsidRDefault="000C0B59">
                    <w:pPr>
                      <w:spacing w:line="275" w:lineRule="auto"/>
                      <w:textDirection w:val="btLr"/>
                      <w:rPr>
                        <w:b/>
                        <w:color w:val="FFFFFF" w:themeColor="background1"/>
                      </w:rPr>
                    </w:pPr>
                    <w:r w:rsidRPr="000C0B59">
                      <w:rPr>
                        <w:b/>
                        <w:color w:val="FFFFFF" w:themeColor="background1"/>
                      </w:rPr>
                      <w:t>Segreteria Provinciale di PERUGIA</w:t>
                    </w:r>
                  </w:p>
                  <w:p w:rsidR="000C0B59" w:rsidRPr="000C0B59" w:rsidRDefault="000C0B59">
                    <w:pPr>
                      <w:spacing w:line="275" w:lineRule="auto"/>
                      <w:textDirection w:val="btLr"/>
                      <w:rPr>
                        <w:b/>
                        <w:color w:val="FFFFFF" w:themeColor="background1"/>
                      </w:rPr>
                    </w:pPr>
                    <w:r w:rsidRPr="000C0B59">
                      <w:rPr>
                        <w:b/>
                        <w:color w:val="FFFFFF" w:themeColor="background1"/>
                      </w:rPr>
                      <w:t>Tel. 075.31298 – 30834</w:t>
                    </w:r>
                  </w:p>
                  <w:p w:rsidR="000C0B59" w:rsidRPr="000C0B59" w:rsidRDefault="000C0B59">
                    <w:pPr>
                      <w:spacing w:line="275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0C0B59">
                      <w:rPr>
                        <w:b/>
                        <w:color w:val="FFFFFF" w:themeColor="background1"/>
                      </w:rPr>
                      <w:t>E-mail: umbria.pg@snals.it</w:t>
                    </w:r>
                  </w:p>
                </w:txbxContent>
              </v:textbox>
            </v:rect>
          </w:pict>
        </mc:Fallback>
      </mc:AlternateContent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9D" w:rsidRDefault="00B114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187A"/>
    <w:multiLevelType w:val="multilevel"/>
    <w:tmpl w:val="6DC20E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7376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9D"/>
    <w:rsid w:val="000C0B59"/>
    <w:rsid w:val="00231A9B"/>
    <w:rsid w:val="002B3F91"/>
    <w:rsid w:val="007808C7"/>
    <w:rsid w:val="00B1149D"/>
    <w:rsid w:val="00E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E5068"/>
  <w15:docId w15:val="{84A78257-6134-4311-823C-E6A374D2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F2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spassweb.com/richiesta_iscrizione.htpl?corso=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spassweb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ospassweb.com/richiesta_iscrizione.htpl?corso=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HC5XxVBasRRG/mpht+M0HHvSQ==">CgMxLjAyDmguM3lpcW94bXZnODJ1Mg5oLmFqajRtbDQ1ZDVmazIOaC55eng5d2Y1Z21tMHEyDmguMTNxYW1tbnd4MWduMghoLmdqZGd4czIOaC45aWRyd3ZodjZiZjk4AHIhMThlTF9zSEhhNHlUeDVraW1NYkVldUpxajdRQmhERnVC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2024-04-23T15:53:00Z</dcterms:created>
  <dcterms:modified xsi:type="dcterms:W3CDTF">2024-04-23T15:56:00Z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0c6a5f5fbd1d452d2663ef772be716da5b53716f6b1bdf749144862604a79f3c</vt:lpwstr>
  </property>
</Properties>
</file>