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AF98BB4" w:rsidR="00A6127E" w:rsidRDefault="00DD1F91" w:rsidP="00C925E4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8440AB">
        <w:rPr>
          <w:sz w:val="16"/>
          <w:szCs w:val="16"/>
        </w:rPr>
        <w:tab/>
      </w:r>
      <w:r w:rsidR="008440AB">
        <w:rPr>
          <w:sz w:val="16"/>
          <w:szCs w:val="16"/>
        </w:rPr>
        <w:tab/>
      </w:r>
      <w:r w:rsidR="008440AB">
        <w:rPr>
          <w:sz w:val="16"/>
          <w:szCs w:val="16"/>
        </w:rPr>
        <w:tab/>
      </w:r>
      <w:r w:rsidR="008440AB">
        <w:rPr>
          <w:sz w:val="16"/>
          <w:szCs w:val="16"/>
        </w:rPr>
        <w:tab/>
      </w:r>
      <w:r w:rsidR="008440AB">
        <w:rPr>
          <w:sz w:val="16"/>
          <w:szCs w:val="16"/>
        </w:rPr>
        <w:tab/>
      </w:r>
      <w:r w:rsidR="008440AB" w:rsidRPr="008440AB">
        <w:rPr>
          <w:rFonts w:asciiTheme="minorHAnsi" w:hAnsiTheme="minorHAnsi" w:cstheme="minorHAnsi"/>
          <w:b/>
          <w:bCs/>
          <w:sz w:val="28"/>
          <w:szCs w:val="28"/>
        </w:rPr>
        <w:t>ALLEGATO B</w:t>
      </w:r>
    </w:p>
    <w:p w14:paraId="10CFF839" w14:textId="77777777" w:rsidR="008440AB" w:rsidRPr="008440AB" w:rsidRDefault="008440AB" w:rsidP="00C925E4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1958E89" w14:textId="77777777" w:rsidR="002319F7" w:rsidRPr="002319F7" w:rsidRDefault="00F25D50" w:rsidP="002319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OGGETTO: </w:t>
      </w:r>
      <w:r w:rsidR="002319F7" w:rsidRPr="002319F7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7189ED44" w14:textId="77777777" w:rsidR="002319F7" w:rsidRPr="002319F7" w:rsidRDefault="002319F7" w:rsidP="002319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2319F7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CNP: ____________________</w:t>
      </w:r>
    </w:p>
    <w:p w14:paraId="2305A55E" w14:textId="53603F31" w:rsidR="00F03A28" w:rsidRDefault="002319F7" w:rsidP="002319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2319F7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 ____________________</w:t>
      </w:r>
    </w:p>
    <w:p w14:paraId="479FF6BD" w14:textId="77777777" w:rsidR="0009598A" w:rsidRPr="00E568DF" w:rsidRDefault="0009598A" w:rsidP="002319F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2B47E07F" w14:textId="609E2A5C" w:rsidR="003D62F9" w:rsidRPr="003D62F9" w:rsidRDefault="000E53C8" w:rsidP="003D62F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Capitolato  di gara</w:t>
      </w:r>
    </w:p>
    <w:p w14:paraId="343CBA52" w14:textId="77777777" w:rsidR="003D62F9" w:rsidRDefault="003D62F9" w:rsidP="003D62F9">
      <w:pPr>
        <w:pStyle w:val="Default"/>
        <w:rPr>
          <w:rFonts w:asciiTheme="minorHAnsi" w:hAnsiTheme="minorHAnsi" w:cstheme="minorHAnsi"/>
          <w:b/>
        </w:rPr>
      </w:pPr>
    </w:p>
    <w:p w14:paraId="6D1A1CEA" w14:textId="77777777" w:rsidR="000E53C8" w:rsidRPr="000E53C8" w:rsidRDefault="000E53C8" w:rsidP="000E53C8">
      <w:pPr>
        <w:tabs>
          <w:tab w:val="decimal" w:pos="432"/>
        </w:tabs>
        <w:spacing w:before="288"/>
        <w:ind w:right="142"/>
        <w:jc w:val="both"/>
        <w:rPr>
          <w:rFonts w:ascii="Calibri" w:hAnsi="Calibri"/>
          <w:b/>
          <w:w w:val="105"/>
          <w:sz w:val="24"/>
          <w:szCs w:val="24"/>
        </w:rPr>
      </w:pPr>
      <w:r w:rsidRPr="000E53C8">
        <w:rPr>
          <w:rFonts w:ascii="Calibri" w:hAnsi="Calibri"/>
          <w:b/>
          <w:w w:val="105"/>
          <w:sz w:val="24"/>
          <w:szCs w:val="24"/>
        </w:rPr>
        <w:t>ART. 1: OGGETTO E NATURA DELL’INCARICO</w:t>
      </w:r>
    </w:p>
    <w:p w14:paraId="1DD43066" w14:textId="221A2BCA" w:rsidR="000E53C8" w:rsidRPr="000E53C8" w:rsidRDefault="000E53C8" w:rsidP="000E53C8">
      <w:pPr>
        <w:ind w:left="142" w:right="142"/>
        <w:jc w:val="both"/>
        <w:rPr>
          <w:rFonts w:ascii="Calibri" w:hAnsi="Calibri"/>
          <w:w w:val="105"/>
          <w:sz w:val="24"/>
          <w:szCs w:val="24"/>
        </w:rPr>
      </w:pPr>
      <w:r w:rsidRPr="000E53C8">
        <w:rPr>
          <w:rFonts w:ascii="Calibri" w:hAnsi="Calibri"/>
          <w:w w:val="105"/>
          <w:sz w:val="24"/>
          <w:szCs w:val="24"/>
        </w:rPr>
        <w:t xml:space="preserve">L’incarico avrà come oggetto la realizzazione dei percorsi formativi indicati </w:t>
      </w:r>
      <w:r w:rsidR="001B66F5">
        <w:rPr>
          <w:rFonts w:ascii="Calibri" w:hAnsi="Calibri"/>
          <w:w w:val="105"/>
          <w:sz w:val="24"/>
          <w:szCs w:val="24"/>
        </w:rPr>
        <w:t xml:space="preserve">all’art.1 dell’Avviso </w:t>
      </w:r>
      <w:r w:rsidR="001B66F5" w:rsidRPr="00B84347">
        <w:rPr>
          <w:rFonts w:ascii="Calibri" w:hAnsi="Calibri"/>
          <w:w w:val="105"/>
          <w:sz w:val="24"/>
          <w:szCs w:val="24"/>
        </w:rPr>
        <w:t>prot.</w:t>
      </w:r>
      <w:r w:rsidR="00B84347" w:rsidRPr="00B84347">
        <w:rPr>
          <w:rFonts w:ascii="Calibri" w:hAnsi="Calibri"/>
          <w:w w:val="105"/>
          <w:sz w:val="24"/>
          <w:szCs w:val="24"/>
        </w:rPr>
        <w:t xml:space="preserve">6261 </w:t>
      </w:r>
      <w:r w:rsidR="001B66F5" w:rsidRPr="00B84347">
        <w:rPr>
          <w:rFonts w:ascii="Calibri" w:hAnsi="Calibri"/>
          <w:w w:val="105"/>
          <w:sz w:val="24"/>
          <w:szCs w:val="24"/>
        </w:rPr>
        <w:t xml:space="preserve"> del</w:t>
      </w:r>
      <w:r w:rsidR="00B84347" w:rsidRPr="00B84347">
        <w:rPr>
          <w:rFonts w:ascii="Calibri" w:hAnsi="Calibri"/>
          <w:w w:val="105"/>
          <w:sz w:val="24"/>
          <w:szCs w:val="24"/>
        </w:rPr>
        <w:t xml:space="preserve"> 23</w:t>
      </w:r>
      <w:r w:rsidR="00B84347">
        <w:rPr>
          <w:rFonts w:ascii="Calibri" w:hAnsi="Calibri"/>
          <w:w w:val="105"/>
          <w:sz w:val="24"/>
          <w:szCs w:val="24"/>
        </w:rPr>
        <w:t xml:space="preserve">.07.24 </w:t>
      </w:r>
      <w:r w:rsidR="001B66F5">
        <w:rPr>
          <w:rFonts w:ascii="Calibri" w:hAnsi="Calibri"/>
          <w:w w:val="105"/>
          <w:sz w:val="24"/>
          <w:szCs w:val="24"/>
        </w:rPr>
        <w:t xml:space="preserve"> </w:t>
      </w:r>
      <w:r w:rsidRPr="000E53C8">
        <w:rPr>
          <w:rFonts w:ascii="Calibri" w:hAnsi="Calibri"/>
          <w:w w:val="105"/>
          <w:sz w:val="24"/>
          <w:szCs w:val="24"/>
        </w:rPr>
        <w:t xml:space="preserve">, presso la sede della scrivente istituzione scolastica o presso altra sede da concordare, assicurando la figura </w:t>
      </w:r>
      <w:r w:rsidRPr="00B84347">
        <w:rPr>
          <w:rFonts w:ascii="Calibri" w:hAnsi="Calibri"/>
          <w:w w:val="105"/>
          <w:sz w:val="24"/>
          <w:szCs w:val="24"/>
        </w:rPr>
        <w:t xml:space="preserve">di </w:t>
      </w:r>
      <w:r w:rsidRPr="00B84347">
        <w:rPr>
          <w:rFonts w:ascii="Calibri" w:hAnsi="Calibri"/>
          <w:b/>
          <w:bCs/>
          <w:i/>
          <w:iCs/>
          <w:w w:val="105"/>
          <w:sz w:val="24"/>
          <w:szCs w:val="24"/>
        </w:rPr>
        <w:t xml:space="preserve">docente esperto </w:t>
      </w:r>
      <w:r w:rsidRPr="00B84347">
        <w:rPr>
          <w:rFonts w:ascii="Calibri" w:hAnsi="Calibri"/>
          <w:w w:val="105"/>
          <w:sz w:val="24"/>
          <w:szCs w:val="24"/>
        </w:rPr>
        <w:t>pe</w:t>
      </w:r>
      <w:r w:rsidRPr="000E53C8">
        <w:rPr>
          <w:rFonts w:ascii="Calibri" w:hAnsi="Calibri"/>
          <w:w w:val="105"/>
          <w:sz w:val="24"/>
          <w:szCs w:val="24"/>
        </w:rPr>
        <w:t xml:space="preserve">r le ore e le tematiche previste secondo </w:t>
      </w:r>
      <w:r w:rsidR="001B66F5">
        <w:rPr>
          <w:rFonts w:ascii="Calibri" w:hAnsi="Calibri"/>
          <w:w w:val="105"/>
          <w:sz w:val="24"/>
          <w:szCs w:val="24"/>
        </w:rPr>
        <w:t xml:space="preserve">quanto indicato analiticamente al suddetto Art.1 </w:t>
      </w:r>
    </w:p>
    <w:p w14:paraId="70518867" w14:textId="77777777" w:rsidR="000E53C8" w:rsidRPr="000E53C8" w:rsidRDefault="000E53C8" w:rsidP="000E53C8">
      <w:pPr>
        <w:ind w:left="142" w:right="142"/>
        <w:jc w:val="both"/>
        <w:rPr>
          <w:rFonts w:ascii="Calibri" w:hAnsi="Calibri"/>
          <w:w w:val="105"/>
          <w:sz w:val="24"/>
          <w:szCs w:val="24"/>
        </w:rPr>
      </w:pPr>
    </w:p>
    <w:p w14:paraId="2A4899F4" w14:textId="6F0FA9F9" w:rsidR="000E53C8" w:rsidRPr="000E53C8" w:rsidRDefault="000E53C8" w:rsidP="000E53C8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0E53C8">
        <w:rPr>
          <w:rFonts w:ascii="Calibri" w:hAnsi="Calibri"/>
          <w:b/>
          <w:sz w:val="24"/>
          <w:szCs w:val="24"/>
        </w:rPr>
        <w:t xml:space="preserve">ART. 2: IMPORTO </w:t>
      </w:r>
      <w:r w:rsidR="005F7DC8">
        <w:rPr>
          <w:rFonts w:ascii="Calibri" w:hAnsi="Calibri"/>
          <w:b/>
          <w:sz w:val="24"/>
          <w:szCs w:val="24"/>
        </w:rPr>
        <w:t>DELL’AFFIDAMENTO</w:t>
      </w:r>
    </w:p>
    <w:p w14:paraId="3E46E70E" w14:textId="2A7D155E" w:rsidR="000E53C8" w:rsidRPr="000E53C8" w:rsidRDefault="000E53C8" w:rsidP="000E53C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E53C8">
        <w:rPr>
          <w:rFonts w:ascii="Calibri" w:hAnsi="Calibri"/>
          <w:sz w:val="24"/>
          <w:szCs w:val="24"/>
        </w:rPr>
        <w:t xml:space="preserve">Per i moduli indicati del percorso formativo viene </w:t>
      </w:r>
      <w:r w:rsidR="005F7DC8">
        <w:rPr>
          <w:rFonts w:ascii="Calibri" w:hAnsi="Calibri"/>
          <w:sz w:val="24"/>
          <w:szCs w:val="24"/>
        </w:rPr>
        <w:t xml:space="preserve">definito un costo </w:t>
      </w:r>
      <w:r w:rsidR="001B66F5">
        <w:rPr>
          <w:rFonts w:ascii="Calibri" w:hAnsi="Calibri"/>
          <w:sz w:val="24"/>
          <w:szCs w:val="24"/>
        </w:rPr>
        <w:t>indicato agli Artt. 1 e 5 di cui all’Avvis</w:t>
      </w:r>
      <w:r w:rsidR="001B66F5" w:rsidRPr="00B84347">
        <w:rPr>
          <w:rFonts w:ascii="Calibri" w:hAnsi="Calibri"/>
          <w:sz w:val="24"/>
          <w:szCs w:val="24"/>
        </w:rPr>
        <w:t>o prot.</w:t>
      </w:r>
      <w:r w:rsidR="00B84347" w:rsidRPr="00B84347">
        <w:rPr>
          <w:rFonts w:ascii="Calibri" w:hAnsi="Calibri"/>
          <w:sz w:val="24"/>
          <w:szCs w:val="24"/>
        </w:rPr>
        <w:t xml:space="preserve">n. 6261 </w:t>
      </w:r>
      <w:r w:rsidR="001B66F5" w:rsidRPr="00B84347">
        <w:rPr>
          <w:rFonts w:ascii="Calibri" w:hAnsi="Calibri"/>
          <w:sz w:val="24"/>
          <w:szCs w:val="24"/>
        </w:rPr>
        <w:t xml:space="preserve"> del </w:t>
      </w:r>
      <w:r w:rsidR="00B84347" w:rsidRPr="00B84347">
        <w:rPr>
          <w:rFonts w:ascii="Calibri" w:hAnsi="Calibri"/>
          <w:sz w:val="24"/>
          <w:szCs w:val="24"/>
        </w:rPr>
        <w:t xml:space="preserve">23.07.24 </w:t>
      </w:r>
      <w:r w:rsidR="001B66F5" w:rsidRPr="00B84347">
        <w:rPr>
          <w:rFonts w:ascii="Calibri" w:hAnsi="Calibri"/>
          <w:sz w:val="24"/>
          <w:szCs w:val="24"/>
        </w:rPr>
        <w:t xml:space="preserve"> e </w:t>
      </w:r>
      <w:r w:rsidR="005F7DC8" w:rsidRPr="00B84347">
        <w:rPr>
          <w:rFonts w:ascii="Calibri" w:hAnsi="Calibri"/>
          <w:sz w:val="24"/>
          <w:szCs w:val="24"/>
        </w:rPr>
        <w:t xml:space="preserve"> rilevato dalle UCS del M</w:t>
      </w:r>
      <w:r w:rsidR="001B66F5" w:rsidRPr="00B84347">
        <w:rPr>
          <w:rFonts w:ascii="Calibri" w:hAnsi="Calibri"/>
          <w:sz w:val="24"/>
          <w:szCs w:val="24"/>
        </w:rPr>
        <w:t>IM</w:t>
      </w:r>
    </w:p>
    <w:p w14:paraId="46726952" w14:textId="77777777" w:rsidR="000E53C8" w:rsidRDefault="000E53C8" w:rsidP="003D62F9">
      <w:pPr>
        <w:pStyle w:val="Default"/>
        <w:rPr>
          <w:rFonts w:asciiTheme="minorHAnsi" w:hAnsiTheme="minorHAnsi" w:cstheme="minorHAnsi"/>
          <w:b/>
        </w:rPr>
      </w:pPr>
    </w:p>
    <w:p w14:paraId="26F8B45C" w14:textId="5F287CB9" w:rsidR="005D459C" w:rsidRPr="005D459C" w:rsidRDefault="005D459C" w:rsidP="005D459C">
      <w:pPr>
        <w:ind w:right="142"/>
        <w:jc w:val="both"/>
        <w:rPr>
          <w:rFonts w:ascii="Calibri" w:hAnsi="Calibri"/>
          <w:bCs/>
          <w:sz w:val="24"/>
          <w:szCs w:val="24"/>
        </w:rPr>
      </w:pPr>
      <w:r w:rsidRPr="005D459C">
        <w:rPr>
          <w:rFonts w:ascii="Calibri" w:hAnsi="Calibri"/>
          <w:b/>
          <w:w w:val="105"/>
          <w:sz w:val="24"/>
          <w:szCs w:val="24"/>
        </w:rPr>
        <w:t>ART. 3: CRITERIO DI VALUTAZIONE DELL’OFFERTA</w:t>
      </w:r>
    </w:p>
    <w:p w14:paraId="2E2BE2A0" w14:textId="24917ADB" w:rsidR="005D459C" w:rsidRPr="005D459C" w:rsidRDefault="005D459C" w:rsidP="005D459C">
      <w:pPr>
        <w:ind w:right="142"/>
        <w:jc w:val="both"/>
        <w:rPr>
          <w:rFonts w:ascii="Calibri" w:hAnsi="Calibri"/>
          <w:w w:val="105"/>
          <w:sz w:val="24"/>
          <w:szCs w:val="24"/>
        </w:rPr>
      </w:pPr>
      <w:r w:rsidRPr="005D459C">
        <w:rPr>
          <w:rFonts w:ascii="Calibri" w:hAnsi="Calibri"/>
          <w:w w:val="105"/>
          <w:sz w:val="24"/>
          <w:szCs w:val="24"/>
        </w:rPr>
        <w:t xml:space="preserve">La procedura negoziata, alla quale parteciperanno i soggetti invitati a seguito del presente avviso, si svolgerà secondo il criterio dell’offerta economicamente più vantaggiosa ai sensi dell’art. </w:t>
      </w:r>
      <w:r>
        <w:rPr>
          <w:rFonts w:ascii="Calibri" w:hAnsi="Calibri"/>
          <w:w w:val="105"/>
          <w:sz w:val="24"/>
          <w:szCs w:val="24"/>
        </w:rPr>
        <w:t xml:space="preserve">108 comma </w:t>
      </w:r>
      <w:r w:rsidR="005F7DC8">
        <w:rPr>
          <w:rFonts w:ascii="Calibri" w:hAnsi="Calibri"/>
          <w:w w:val="105"/>
          <w:sz w:val="24"/>
          <w:szCs w:val="24"/>
        </w:rPr>
        <w:t>5</w:t>
      </w:r>
      <w:r>
        <w:rPr>
          <w:rFonts w:ascii="Calibri" w:hAnsi="Calibri"/>
          <w:w w:val="105"/>
          <w:sz w:val="24"/>
          <w:szCs w:val="24"/>
        </w:rPr>
        <w:t xml:space="preserve"> del Dlgs. 36/2023</w:t>
      </w:r>
      <w:r w:rsidR="005F7DC8">
        <w:rPr>
          <w:rFonts w:ascii="Calibri" w:hAnsi="Calibri"/>
          <w:w w:val="105"/>
          <w:sz w:val="24"/>
          <w:szCs w:val="24"/>
        </w:rPr>
        <w:t xml:space="preserve"> ritenendo fissa la parte economica per cui gli operatori economici concorreranno solo sulla parte tecnica</w:t>
      </w:r>
    </w:p>
    <w:p w14:paraId="64A1D409" w14:textId="77777777" w:rsidR="005D459C" w:rsidRPr="005D459C" w:rsidRDefault="005D459C" w:rsidP="005D459C">
      <w:pPr>
        <w:ind w:right="142"/>
        <w:jc w:val="both"/>
        <w:rPr>
          <w:rFonts w:ascii="Calibri" w:hAnsi="Calibri"/>
          <w:w w:val="105"/>
          <w:sz w:val="24"/>
          <w:szCs w:val="24"/>
        </w:rPr>
      </w:pPr>
    </w:p>
    <w:p w14:paraId="2F505B27" w14:textId="77777777" w:rsidR="005D459C" w:rsidRPr="005D459C" w:rsidRDefault="005D459C" w:rsidP="005D459C">
      <w:pPr>
        <w:rPr>
          <w:rFonts w:ascii="Calibri" w:hAnsi="Calibri"/>
          <w:b/>
          <w:sz w:val="24"/>
          <w:szCs w:val="24"/>
        </w:rPr>
      </w:pPr>
      <w:r w:rsidRPr="005D459C">
        <w:rPr>
          <w:rFonts w:ascii="Calibri" w:hAnsi="Calibri"/>
          <w:b/>
          <w:sz w:val="24"/>
          <w:szCs w:val="24"/>
        </w:rPr>
        <w:t>ART. 4: REQUISITI DI PARTECIPAZIONE</w:t>
      </w:r>
    </w:p>
    <w:p w14:paraId="01CC2F37" w14:textId="6782E5F7" w:rsidR="00D64478" w:rsidRPr="00FD161F" w:rsidRDefault="00D64478" w:rsidP="00D6447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D459C">
        <w:rPr>
          <w:rFonts w:ascii="Calibri" w:hAnsi="Calibri"/>
          <w:spacing w:val="-1"/>
          <w:sz w:val="24"/>
          <w:szCs w:val="24"/>
        </w:rPr>
        <w:t>Sono ammessi a partecipare</w:t>
      </w:r>
      <w:r>
        <w:rPr>
          <w:rFonts w:ascii="Calibri" w:hAnsi="Calibri"/>
          <w:spacing w:val="-1"/>
          <w:sz w:val="24"/>
          <w:szCs w:val="24"/>
        </w:rPr>
        <w:t xml:space="preserve"> gli operatori economici di cui all’articolo 65 del Dlgs. 36/2023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 </w:t>
      </w:r>
      <w:r w:rsidRPr="00931E34">
        <w:rPr>
          <w:rFonts w:asciiTheme="minorHAnsi" w:hAnsiTheme="minorHAnsi" w:cstheme="minorHAnsi"/>
          <w:bCs/>
          <w:iCs/>
          <w:sz w:val="24"/>
          <w:szCs w:val="24"/>
        </w:rPr>
        <w:t xml:space="preserve">ed in </w:t>
      </w:r>
      <w:r w:rsidRPr="00931E34">
        <w:rPr>
          <w:rFonts w:ascii="Calibri" w:hAnsi="Calibri"/>
          <w:bCs/>
          <w:iCs/>
          <w:spacing w:val="-1"/>
          <w:sz w:val="24"/>
          <w:szCs w:val="24"/>
        </w:rPr>
        <w:t>possesso</w:t>
      </w:r>
      <w:r>
        <w:rPr>
          <w:rFonts w:ascii="Calibri" w:hAnsi="Calibri"/>
          <w:spacing w:val="-1"/>
          <w:sz w:val="24"/>
          <w:szCs w:val="24"/>
        </w:rPr>
        <w:t xml:space="preserve"> </w:t>
      </w:r>
    </w:p>
    <w:p w14:paraId="7CA40DCF" w14:textId="77777777" w:rsidR="00CC26D3" w:rsidRDefault="00CC26D3" w:rsidP="00CC26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277E8" w14:textId="1D825B53" w:rsidR="00CC26D3" w:rsidRPr="00B75D3C" w:rsidRDefault="00CC26D3" w:rsidP="00B75D3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CC26D3">
        <w:rPr>
          <w:rFonts w:asciiTheme="minorHAnsi" w:hAnsiTheme="minorHAnsi" w:cstheme="minorHAnsi"/>
          <w:b/>
          <w:bCs/>
          <w:i/>
          <w:iCs/>
          <w:color w:val="000000"/>
        </w:rPr>
        <w:t>Requisiti di ordine generale</w:t>
      </w:r>
      <w:r w:rsidR="00B75D3C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="00B75D3C">
        <w:rPr>
          <w:rFonts w:asciiTheme="minorHAnsi" w:hAnsiTheme="minorHAnsi" w:cstheme="minorHAnsi"/>
          <w:color w:val="000000"/>
        </w:rPr>
        <w:t xml:space="preserve"> vedi </w:t>
      </w:r>
      <w:r w:rsidRPr="00B75D3C">
        <w:rPr>
          <w:rFonts w:asciiTheme="minorHAnsi" w:hAnsiTheme="minorHAnsi" w:cstheme="minorHAnsi"/>
          <w:color w:val="000000"/>
        </w:rPr>
        <w:t>art</w:t>
      </w:r>
      <w:r w:rsidR="00B75D3C">
        <w:rPr>
          <w:rFonts w:asciiTheme="minorHAnsi" w:hAnsiTheme="minorHAnsi" w:cstheme="minorHAnsi"/>
          <w:color w:val="000000"/>
        </w:rPr>
        <w:t xml:space="preserve">t. </w:t>
      </w:r>
      <w:r w:rsidRPr="00B75D3C">
        <w:rPr>
          <w:rFonts w:asciiTheme="minorHAnsi" w:hAnsiTheme="minorHAnsi" w:cstheme="minorHAnsi"/>
          <w:color w:val="000000"/>
        </w:rPr>
        <w:t xml:space="preserve"> 94 e 95 del Dlgs. 23/2023</w:t>
      </w:r>
    </w:p>
    <w:p w14:paraId="5B0EC5B6" w14:textId="77777777" w:rsidR="00CC26D3" w:rsidRPr="00CC26D3" w:rsidRDefault="00CC26D3" w:rsidP="00CC26D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0C3CD6D" w14:textId="62BCE32E" w:rsidR="00CC26D3" w:rsidRPr="00CC26D3" w:rsidRDefault="00CC26D3" w:rsidP="00CC26D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</w:rPr>
      </w:pPr>
      <w:r w:rsidRPr="00CC26D3">
        <w:rPr>
          <w:rFonts w:ascii="Calibri" w:hAnsi="Calibri" w:cs="Calibri"/>
          <w:b/>
          <w:bCs/>
          <w:i/>
          <w:iCs/>
          <w:color w:val="000000"/>
        </w:rPr>
        <w:t>Requisiti di idoneità professionale</w:t>
      </w:r>
      <w:r w:rsidR="00B75D3C">
        <w:rPr>
          <w:rFonts w:ascii="Calibri" w:hAnsi="Calibri" w:cs="Calibri"/>
          <w:b/>
          <w:bCs/>
          <w:i/>
          <w:iCs/>
          <w:color w:val="000000"/>
        </w:rPr>
        <w:t xml:space="preserve"> vedi Art.3 dell’Avviso prot.</w:t>
      </w:r>
      <w:r w:rsidR="00F50E39">
        <w:rPr>
          <w:rFonts w:ascii="Calibri" w:hAnsi="Calibri" w:cs="Calibri"/>
          <w:b/>
          <w:bCs/>
          <w:i/>
          <w:iCs/>
          <w:color w:val="000000"/>
        </w:rPr>
        <w:t xml:space="preserve">n. 6261 </w:t>
      </w:r>
      <w:r w:rsidR="00B75D3C">
        <w:rPr>
          <w:rFonts w:ascii="Calibri" w:hAnsi="Calibri" w:cs="Calibri"/>
          <w:b/>
          <w:bCs/>
          <w:i/>
          <w:iCs/>
          <w:color w:val="000000"/>
        </w:rPr>
        <w:t xml:space="preserve">  del </w:t>
      </w:r>
      <w:r w:rsidR="00F50E39">
        <w:rPr>
          <w:rFonts w:ascii="Calibri" w:hAnsi="Calibri" w:cs="Calibri"/>
          <w:b/>
          <w:bCs/>
          <w:i/>
          <w:iCs/>
          <w:color w:val="000000"/>
        </w:rPr>
        <w:t>23.07.24</w:t>
      </w:r>
    </w:p>
    <w:p w14:paraId="328F8CA9" w14:textId="77777777" w:rsidR="00CC26D3" w:rsidRDefault="00CC26D3" w:rsidP="00CC26D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41A2618" w14:textId="1C4C7382" w:rsidR="00BC3780" w:rsidRPr="00CC26D3" w:rsidRDefault="00CC26D3" w:rsidP="00CC26D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CC26D3">
        <w:rPr>
          <w:rFonts w:asciiTheme="minorHAnsi" w:hAnsiTheme="minorHAnsi" w:cstheme="minorHAnsi"/>
          <w:b/>
          <w:sz w:val="24"/>
          <w:szCs w:val="24"/>
        </w:rPr>
        <w:t>ART. 5: Comparazione delle offerte</w:t>
      </w:r>
    </w:p>
    <w:p w14:paraId="29B0D67D" w14:textId="5316EA6E" w:rsidR="00CC26D3" w:rsidRPr="00CC26D3" w:rsidRDefault="00CC26D3" w:rsidP="00FA22A4">
      <w:pPr>
        <w:autoSpaceDE w:val="0"/>
        <w:autoSpaceDN w:val="0"/>
        <w:adjustRightInd w:val="0"/>
        <w:jc w:val="both"/>
        <w:rPr>
          <w:rStyle w:val="Corpodeltesto2Exact"/>
          <w:rFonts w:asciiTheme="minorHAnsi" w:hAnsiTheme="minorHAnsi" w:cstheme="minorHAnsi"/>
          <w:b/>
          <w:sz w:val="24"/>
          <w:szCs w:val="24"/>
        </w:rPr>
      </w:pPr>
      <w:r w:rsidRPr="000757C2">
        <w:rPr>
          <w:rStyle w:val="Corpodeltesto2Exact"/>
          <w:rFonts w:asciiTheme="minorHAnsi" w:hAnsiTheme="minorHAnsi" w:cstheme="minorHAnsi"/>
          <w:sz w:val="24"/>
          <w:szCs w:val="24"/>
        </w:rPr>
        <w:t xml:space="preserve">La selezione, delle offerte pervenute nei termini, </w:t>
      </w:r>
      <w:r w:rsidR="00BC3780" w:rsidRPr="000757C2">
        <w:rPr>
          <w:rStyle w:val="Corpodeltesto2Exact"/>
          <w:rFonts w:asciiTheme="minorHAnsi" w:hAnsiTheme="minorHAnsi" w:cstheme="minorHAnsi"/>
          <w:sz w:val="24"/>
          <w:szCs w:val="24"/>
        </w:rPr>
        <w:t>verrà effettuata dal Dirigente Scolastico, eventualmente anche senza la nomina di apposita commissione di valutazione</w:t>
      </w:r>
      <w:r w:rsidR="00E27AF9" w:rsidRPr="000757C2">
        <w:rPr>
          <w:rStyle w:val="Corpodeltesto2Exact"/>
          <w:rFonts w:asciiTheme="minorHAnsi" w:hAnsiTheme="minorHAnsi" w:cstheme="minorHAnsi"/>
          <w:sz w:val="24"/>
          <w:szCs w:val="24"/>
        </w:rPr>
        <w:t xml:space="preserve">, </w:t>
      </w:r>
      <w:r w:rsidR="00BC3780" w:rsidRPr="000757C2">
        <w:rPr>
          <w:rStyle w:val="Corpodeltesto2Exact"/>
          <w:rFonts w:asciiTheme="minorHAnsi" w:hAnsiTheme="minorHAnsi" w:cstheme="minorHAnsi"/>
          <w:sz w:val="24"/>
          <w:szCs w:val="24"/>
        </w:rPr>
        <w:t xml:space="preserve"> </w:t>
      </w:r>
      <w:r w:rsidRPr="000757C2">
        <w:rPr>
          <w:rStyle w:val="Corpodeltesto2Exact"/>
          <w:rFonts w:asciiTheme="minorHAnsi" w:hAnsiTheme="minorHAnsi" w:cstheme="minorHAnsi"/>
          <w:sz w:val="24"/>
          <w:szCs w:val="24"/>
        </w:rPr>
        <w:t xml:space="preserve"> secondo il criterio </w:t>
      </w:r>
      <w:r w:rsidRPr="000757C2">
        <w:rPr>
          <w:rFonts w:asciiTheme="minorHAnsi" w:eastAsia="Calibri" w:hAnsiTheme="minorHAnsi" w:cstheme="minorHAnsi"/>
          <w:sz w:val="24"/>
          <w:szCs w:val="24"/>
        </w:rPr>
        <w:t xml:space="preserve">dell’offerta economicamente più vantaggiosa </w:t>
      </w:r>
      <w:r w:rsidRPr="000757C2">
        <w:rPr>
          <w:rFonts w:asciiTheme="minorHAnsi" w:hAnsiTheme="minorHAnsi" w:cstheme="minorHAnsi"/>
          <w:sz w:val="24"/>
          <w:szCs w:val="24"/>
        </w:rPr>
        <w:t>sulla base del miglior rapporto qualità/prezzo</w:t>
      </w:r>
      <w:r w:rsidRPr="000757C2">
        <w:rPr>
          <w:rFonts w:asciiTheme="minorHAnsi" w:eastAsia="Calibri" w:hAnsiTheme="minorHAnsi" w:cstheme="minorHAnsi"/>
          <w:sz w:val="24"/>
          <w:szCs w:val="24"/>
        </w:rPr>
        <w:t xml:space="preserve">, ai sensi </w:t>
      </w:r>
      <w:r w:rsidRPr="000757C2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dell’art. 108 comma </w:t>
      </w:r>
      <w:r w:rsidR="005F7DC8" w:rsidRPr="000757C2">
        <w:rPr>
          <w:rFonts w:asciiTheme="minorHAnsi" w:eastAsia="Calibri" w:hAnsiTheme="minorHAnsi" w:cstheme="minorHAnsi"/>
          <w:sz w:val="24"/>
          <w:szCs w:val="24"/>
        </w:rPr>
        <w:t>5</w:t>
      </w:r>
      <w:r w:rsidRPr="000757C2">
        <w:rPr>
          <w:rFonts w:asciiTheme="minorHAnsi" w:eastAsia="Calibri" w:hAnsiTheme="minorHAnsi" w:cstheme="minorHAnsi"/>
          <w:sz w:val="24"/>
          <w:szCs w:val="24"/>
        </w:rPr>
        <w:t xml:space="preserve"> del Dlgs. 36/2023, </w:t>
      </w:r>
      <w:r w:rsidRPr="000757C2">
        <w:rPr>
          <w:rStyle w:val="Corpodeltesto2Exact"/>
          <w:rFonts w:asciiTheme="minorHAnsi" w:hAnsiTheme="minorHAnsi" w:cstheme="minorHAnsi"/>
          <w:sz w:val="24"/>
          <w:szCs w:val="24"/>
        </w:rPr>
        <w:t>in base ai parametri di valutazione con relativo punteggio di seguito riportati</w:t>
      </w:r>
      <w:r w:rsidR="003D4DDB" w:rsidRPr="000757C2">
        <w:rPr>
          <w:rStyle w:val="Corpodeltesto2Exact"/>
          <w:rFonts w:asciiTheme="minorHAnsi" w:hAnsiTheme="minorHAnsi" w:cstheme="minorHAnsi"/>
          <w:sz w:val="24"/>
          <w:szCs w:val="24"/>
        </w:rPr>
        <w:t xml:space="preserve"> nella </w:t>
      </w:r>
      <w:r w:rsidR="00D46FF7" w:rsidRPr="000757C2">
        <w:rPr>
          <w:rStyle w:val="Corpodeltesto2Exact"/>
          <w:rFonts w:asciiTheme="minorHAnsi" w:hAnsiTheme="minorHAnsi" w:cstheme="minorHAnsi"/>
          <w:b/>
          <w:bCs/>
          <w:i/>
          <w:iCs/>
          <w:sz w:val="24"/>
          <w:szCs w:val="24"/>
        </w:rPr>
        <w:t>seguente tabella:</w:t>
      </w:r>
      <w:r w:rsidR="00D46FF7">
        <w:rPr>
          <w:rStyle w:val="Corpodeltesto2Exact"/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0021525B" w14:textId="77777777" w:rsidR="00CC26D3" w:rsidRPr="00CC26D3" w:rsidRDefault="00CC26D3" w:rsidP="00CC26D3">
      <w:pPr>
        <w:keepNext/>
        <w:jc w:val="both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5000" w:type="pct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826"/>
        <w:gridCol w:w="4527"/>
      </w:tblGrid>
      <w:tr w:rsidR="003D4DDB" w:rsidRPr="00CC26D3" w14:paraId="586D0BC8" w14:textId="77777777" w:rsidTr="003D4DDB">
        <w:trPr>
          <w:trHeight w:val="340"/>
        </w:trPr>
        <w:tc>
          <w:tcPr>
            <w:tcW w:w="26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61117A" w14:textId="77777777" w:rsidR="003D4DDB" w:rsidRPr="00CC26D3" w:rsidRDefault="003D4DDB" w:rsidP="007D407A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3BE83370" w14:textId="77777777" w:rsidR="003D4DDB" w:rsidRPr="00CC26D3" w:rsidRDefault="003D4DDB" w:rsidP="007D407A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INDICATORI</w:t>
            </w:r>
          </w:p>
        </w:tc>
      </w:tr>
      <w:tr w:rsidR="003D4DDB" w:rsidRPr="00CC26D3" w14:paraId="05181665" w14:textId="77777777" w:rsidTr="003D4DDB">
        <w:trPr>
          <w:trHeight w:val="340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9ECFE" w14:textId="77777777" w:rsidR="003D4DDB" w:rsidRPr="00CC26D3" w:rsidRDefault="003D4DDB" w:rsidP="007D4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B5B758" w14:textId="7A73D77E" w:rsidR="003D4DDB" w:rsidRPr="00CC26D3" w:rsidRDefault="000F290A" w:rsidP="007D4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Erogazione pregressa documentabile della formazione a personale della scuola (dirigenti, docenti, personale ATA) (anche in modalità online) di minimo 20 ore in tematiche inerente ai percorsi formativi. (prendere in esame ultimi 3 anni scolastici conclusi)</w:t>
            </w: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3B5BBA" w14:textId="77777777" w:rsidR="003D4DDB" w:rsidRPr="0006418C" w:rsidRDefault="003D4DDB" w:rsidP="003D4DDB">
            <w:pPr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06418C"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  <w:t xml:space="preserve">max 20 punti </w:t>
            </w:r>
          </w:p>
          <w:p w14:paraId="2A3AC68A" w14:textId="77777777" w:rsidR="003D4DDB" w:rsidRDefault="003D4DDB" w:rsidP="003D4DDB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  <w:p w14:paraId="62479A76" w14:textId="2BDF590D" w:rsidR="003D4DDB" w:rsidRPr="00CC26D3" w:rsidRDefault="003D4DDB" w:rsidP="003D4DDB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0,5 punti per percorso</w:t>
            </w:r>
          </w:p>
        </w:tc>
      </w:tr>
      <w:tr w:rsidR="003D4DDB" w:rsidRPr="00CC26D3" w14:paraId="5FFE5E59" w14:textId="77777777" w:rsidTr="003D4DDB">
        <w:trPr>
          <w:trHeight w:val="190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091B5" w14:textId="4490FFD4" w:rsidR="003D4DDB" w:rsidRPr="00CC26D3" w:rsidRDefault="003D4DDB" w:rsidP="007D4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4D615" w14:textId="246CE174" w:rsidR="003D4DDB" w:rsidRPr="0028075B" w:rsidRDefault="003D4DDB" w:rsidP="0028075B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Titoli e competenze dei formatori</w:t>
            </w:r>
            <w:r w:rsidRPr="00CC26D3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documentate mediante CV come da allegata griglia (n° minimo di formatori richiesti n°___)</w:t>
            </w:r>
          </w:p>
          <w:p w14:paraId="703D3190" w14:textId="77777777" w:rsidR="003D4DDB" w:rsidRPr="0028075B" w:rsidRDefault="003D4DDB" w:rsidP="0028075B">
            <w:pPr>
              <w:rPr>
                <w:rFonts w:asciiTheme="minorHAnsi" w:hAnsiTheme="minorHAnsi" w:cstheme="minorHAnsi"/>
                <w:kern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779" w14:textId="3AC5BFD0" w:rsidR="003D4DDB" w:rsidRPr="003D4DDB" w:rsidRDefault="003D4DDB" w:rsidP="007D407A">
            <w:pPr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3D4DDB"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  <w:t xml:space="preserve">Max 40 punti. </w:t>
            </w:r>
          </w:p>
          <w:p w14:paraId="66563FF7" w14:textId="6E696BF8" w:rsidR="003D4DDB" w:rsidRPr="00CC26D3" w:rsidRDefault="003D4DDB" w:rsidP="007D407A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Il punteggio assegnato sarà costituito dalla media aritmetica dei punteggi delle singole figure professionali presentanti curriculum 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parametrati al valore 40</w:t>
            </w:r>
          </w:p>
        </w:tc>
      </w:tr>
      <w:tr w:rsidR="003D4DDB" w:rsidRPr="00F1270B" w14:paraId="78FF9CAA" w14:textId="77777777" w:rsidTr="003D4DDB">
        <w:trPr>
          <w:trHeight w:val="1551"/>
        </w:trPr>
        <w:tc>
          <w:tcPr>
            <w:tcW w:w="20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27B1C" w14:textId="58E31AF2" w:rsidR="003D4DDB" w:rsidRDefault="00016F26" w:rsidP="003D4D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9B5D7" w14:textId="74858695" w:rsidR="003D4DDB" w:rsidRDefault="003D4DDB" w:rsidP="003D4DDB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Descrizione progettuale delle attività che verranno realizzate in relazione ai percorsi formati indicati nella tabella A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890448" w14:textId="77777777" w:rsidR="003D4DDB" w:rsidRPr="0006418C" w:rsidRDefault="003D4DDB" w:rsidP="003D4DDB">
            <w:pPr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06418C"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  <w:t>Max 20 punti che verranno attribuiti dalla commissione appositamente nominata</w:t>
            </w:r>
          </w:p>
          <w:p w14:paraId="5F31DCAF" w14:textId="40760543" w:rsidR="003D4DDB" w:rsidRDefault="003D4DDB" w:rsidP="003D4DDB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Descrivere attività, metodologie, strumenti che verranno utilizzati. Descrivere altresì i sistemi di monitoraggio e valutazione etc. etc. </w:t>
            </w:r>
          </w:p>
        </w:tc>
      </w:tr>
      <w:tr w:rsidR="003D4DDB" w:rsidRPr="00F1270B" w14:paraId="7BF2024F" w14:textId="77777777" w:rsidTr="003D4DDB">
        <w:trPr>
          <w:trHeight w:val="1551"/>
        </w:trPr>
        <w:tc>
          <w:tcPr>
            <w:tcW w:w="20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0B7CE" w14:textId="3EFFDE9B" w:rsidR="003D4DDB" w:rsidRDefault="003D4DDB" w:rsidP="007D40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82C69" w14:textId="68B9C214" w:rsidR="003D4DDB" w:rsidRDefault="003D4DDB" w:rsidP="0028075B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Materiale didattico messo a disposizione per i percorsi e lasciato in proprietà alla stazione appaltante (valore stimato)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6AD702A" w14:textId="34131CB0" w:rsidR="003D4DDB" w:rsidRPr="003D4DDB" w:rsidRDefault="003D4DDB" w:rsidP="005D71F1">
            <w:pPr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</w:t>
            </w:r>
            <w:r w:rsidRPr="003D4DDB">
              <w:rPr>
                <w:rFonts w:asciiTheme="minorHAnsi" w:hAnsiTheme="minorHAnsi" w:cstheme="minorHAnsi"/>
                <w:b/>
                <w:bCs/>
                <w:i/>
                <w:iCs/>
                <w:kern w:val="24"/>
                <w:sz w:val="24"/>
                <w:szCs w:val="24"/>
              </w:rPr>
              <w:t xml:space="preserve">Max 20 punti </w:t>
            </w:r>
          </w:p>
          <w:p w14:paraId="19F2A576" w14:textId="467F9C48" w:rsidR="003D4DDB" w:rsidRDefault="003D4DDB" w:rsidP="005D71F1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Il punteggio sarà assegnato valutando 1 punto ogni 1000 euro al netto dell’IVA di valore stimato del materiale didattico</w:t>
            </w:r>
          </w:p>
          <w:p w14:paraId="59AC7210" w14:textId="289B5518" w:rsidR="003D4DDB" w:rsidRPr="00F1270B" w:rsidRDefault="003D4DDB" w:rsidP="005D71F1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F1270B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(hardware/software/licenze etc.) </w:t>
            </w:r>
          </w:p>
        </w:tc>
      </w:tr>
      <w:tr w:rsidR="003D4DDB" w:rsidRPr="00CC26D3" w14:paraId="3FDC985D" w14:textId="77777777" w:rsidTr="003D4DDB">
        <w:trPr>
          <w:trHeight w:val="340"/>
        </w:trPr>
        <w:tc>
          <w:tcPr>
            <w:tcW w:w="209" w:type="pct"/>
            <w:tcBorders>
              <w:top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8DAEA" w14:textId="77777777" w:rsidR="003D4DDB" w:rsidRPr="00F1270B" w:rsidRDefault="003D4DDB" w:rsidP="007D407A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32132" w14:textId="77777777" w:rsidR="003D4DDB" w:rsidRPr="00F1270B" w:rsidRDefault="003D4DDB" w:rsidP="007D407A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3B00" w14:textId="77777777" w:rsidR="003D4DDB" w:rsidRPr="00CC26D3" w:rsidRDefault="003D4DDB" w:rsidP="007D407A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Totale  </w:t>
            </w:r>
          </w:p>
          <w:p w14:paraId="65ED65E9" w14:textId="77777777" w:rsidR="003D4DDB" w:rsidRPr="00CC26D3" w:rsidRDefault="003D4DDB" w:rsidP="007D407A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max </w:t>
            </w:r>
            <w:proofErr w:type="spellStart"/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pt</w:t>
            </w:r>
            <w:proofErr w:type="spellEnd"/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. 100</w:t>
            </w:r>
          </w:p>
        </w:tc>
      </w:tr>
    </w:tbl>
    <w:p w14:paraId="0CCE029A" w14:textId="77777777" w:rsidR="00CC26D3" w:rsidRPr="00CC26D3" w:rsidRDefault="00CC26D3" w:rsidP="00CC26D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E676ABF" w14:textId="03B83968" w:rsidR="00F4225E" w:rsidRPr="00F4225E" w:rsidRDefault="00F4225E" w:rsidP="00F4225E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F4225E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Art. </w:t>
      </w:r>
      <w:r>
        <w:rPr>
          <w:rFonts w:ascii="Calibri" w:eastAsia="Calibri" w:hAnsi="Calibri"/>
          <w:b/>
          <w:bCs/>
          <w:sz w:val="24"/>
          <w:szCs w:val="24"/>
          <w:lang w:eastAsia="en-US"/>
        </w:rPr>
        <w:t>6</w:t>
      </w:r>
      <w:r w:rsidRPr="00F4225E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– Requisiti esperti formatori </w:t>
      </w: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</w:t>
      </w:r>
      <w:r w:rsidRPr="00F4225E">
        <w:rPr>
          <w:rFonts w:ascii="Calibri" w:eastAsia="Calibri" w:hAnsi="Calibri"/>
          <w:b/>
          <w:bCs/>
          <w:sz w:val="24"/>
          <w:szCs w:val="24"/>
          <w:lang w:eastAsia="en-US"/>
        </w:rPr>
        <w:t>individuati dai Soggetti giuridici candidati</w:t>
      </w:r>
    </w:p>
    <w:p w14:paraId="3076EC9E" w14:textId="1291BC78" w:rsidR="00F4225E" w:rsidRPr="00F4225E" w:rsidRDefault="00F4225E" w:rsidP="00F4225E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F4225E">
        <w:rPr>
          <w:rFonts w:ascii="Calibri" w:eastAsia="Calibri" w:hAnsi="Calibri"/>
          <w:sz w:val="24"/>
          <w:szCs w:val="24"/>
          <w:lang w:eastAsia="en-US"/>
        </w:rPr>
        <w:t>All’atto del</w:t>
      </w:r>
      <w:r>
        <w:rPr>
          <w:rFonts w:ascii="Calibri" w:eastAsia="Calibri" w:hAnsi="Calibri"/>
          <w:sz w:val="24"/>
          <w:szCs w:val="24"/>
          <w:lang w:eastAsia="en-US"/>
        </w:rPr>
        <w:t>la presentazione dell’offerta</w:t>
      </w:r>
      <w:r w:rsidRPr="00F4225E">
        <w:rPr>
          <w:rFonts w:ascii="Calibri" w:eastAsia="Calibri" w:hAnsi="Calibri"/>
          <w:sz w:val="24"/>
          <w:szCs w:val="24"/>
          <w:lang w:eastAsia="en-US"/>
        </w:rPr>
        <w:t xml:space="preserve"> del servizio di formazione, il soggetto giuridico qualificato dovrà presentare l’elenco nominativo degli esperti coinvolti nelle attività formative. Nel dettaglio, gli esperti  individuati dal soggetto giuridico affidatario, devono</w:t>
      </w:r>
      <w:r w:rsidR="005739D2">
        <w:rPr>
          <w:rFonts w:ascii="Calibri" w:eastAsia="Calibri" w:hAnsi="Calibri"/>
          <w:sz w:val="24"/>
          <w:szCs w:val="24"/>
          <w:lang w:eastAsia="en-US"/>
        </w:rPr>
        <w:t xml:space="preserve"> possedere i requisiti di cui all’art.2 dell’Avviso prot. n. </w:t>
      </w:r>
      <w:r w:rsidR="00F201A9">
        <w:rPr>
          <w:rFonts w:ascii="Calibri" w:eastAsia="Calibri" w:hAnsi="Calibri"/>
          <w:sz w:val="24"/>
          <w:szCs w:val="24"/>
          <w:lang w:eastAsia="en-US"/>
        </w:rPr>
        <w:t>6261 del 23.07.24</w:t>
      </w:r>
      <w:r w:rsidR="00916B99">
        <w:rPr>
          <w:rFonts w:ascii="Calibri" w:eastAsia="Calibri" w:hAnsi="Calibri"/>
          <w:sz w:val="24"/>
          <w:szCs w:val="24"/>
          <w:lang w:eastAsia="en-US"/>
        </w:rPr>
        <w:t>:</w:t>
      </w:r>
    </w:p>
    <w:p w14:paraId="6CB6807A" w14:textId="4813FA53" w:rsidR="005D459C" w:rsidRDefault="005D459C" w:rsidP="00CC26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0F4A84" w14:textId="6DE3D717" w:rsidR="00F4225E" w:rsidRPr="00F4225E" w:rsidRDefault="00F4225E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4225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A4884">
        <w:rPr>
          <w:rFonts w:asciiTheme="minorHAnsi" w:hAnsiTheme="minorHAnsi" w:cstheme="minorHAnsi"/>
          <w:b/>
          <w:bCs/>
          <w:sz w:val="24"/>
          <w:szCs w:val="24"/>
        </w:rPr>
        <w:t>rt</w:t>
      </w:r>
      <w:r w:rsidRPr="00F4225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45D41">
        <w:rPr>
          <w:rFonts w:asciiTheme="minorHAnsi" w:hAnsiTheme="minorHAnsi" w:cstheme="minorHAnsi"/>
          <w:b/>
          <w:bCs/>
          <w:sz w:val="24"/>
          <w:szCs w:val="24"/>
        </w:rPr>
        <w:t xml:space="preserve">7 - </w:t>
      </w:r>
      <w:r w:rsidR="00AA4884" w:rsidRPr="00F4225E">
        <w:rPr>
          <w:rFonts w:asciiTheme="minorHAnsi" w:hAnsiTheme="minorHAnsi" w:cstheme="minorHAnsi"/>
          <w:b/>
          <w:bCs/>
          <w:sz w:val="24"/>
          <w:szCs w:val="24"/>
        </w:rPr>
        <w:t>oneri ed obblighi dell'aggiudicatario</w:t>
      </w:r>
    </w:p>
    <w:p w14:paraId="37AA9FAB" w14:textId="77777777" w:rsidR="00F4225E" w:rsidRPr="00F4225E" w:rsidRDefault="00F4225E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4225E">
        <w:rPr>
          <w:rFonts w:asciiTheme="minorHAnsi" w:hAnsiTheme="minorHAnsi" w:cstheme="minorHAnsi"/>
          <w:sz w:val="24"/>
          <w:szCs w:val="24"/>
        </w:rPr>
        <w:t>Oltre a quanto stabilito in precedenza sono a totale carico del soggetto giuridico aggiudicatario, senza dar luogo ad alcun compenso aggiuntivo, a nessun titolo, i seguenti oneri ed obblighi:</w:t>
      </w:r>
    </w:p>
    <w:p w14:paraId="27BC2463" w14:textId="77777777" w:rsidR="00F4225E" w:rsidRPr="00AA4884" w:rsidRDefault="00F4225E" w:rsidP="00AA488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4884">
        <w:rPr>
          <w:rFonts w:asciiTheme="minorHAnsi" w:hAnsiTheme="minorHAnsi" w:cstheme="minorHAnsi"/>
        </w:rPr>
        <w:t>tutte le spese sostenute per la formulazione dell’offerta;</w:t>
      </w:r>
    </w:p>
    <w:p w14:paraId="77CCA574" w14:textId="77777777" w:rsidR="00F4225E" w:rsidRPr="00AA4884" w:rsidRDefault="00F4225E" w:rsidP="00AA488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4884">
        <w:rPr>
          <w:rFonts w:asciiTheme="minorHAnsi" w:hAnsiTheme="minorHAnsi" w:cstheme="minorHAnsi"/>
        </w:rPr>
        <w:t>tutte le spese di bollo eventualmente inerenti agli atti occorrenti per la fornitura del servizio dal giorno della notifica dell’aggiudicazione della stessa e per tutta la sua durata;</w:t>
      </w:r>
    </w:p>
    <w:p w14:paraId="00F45BE4" w14:textId="00D0842D" w:rsidR="00F4225E" w:rsidRPr="00AA4884" w:rsidRDefault="00F4225E" w:rsidP="00AA488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4884">
        <w:rPr>
          <w:rFonts w:asciiTheme="minorHAnsi" w:hAnsiTheme="minorHAnsi" w:cstheme="minorHAnsi"/>
        </w:rPr>
        <w:t xml:space="preserve">l'obbligo di segnalare per iscritto, immediatamente, alla stazione </w:t>
      </w:r>
      <w:r w:rsidR="00AA4884" w:rsidRPr="00AA4884">
        <w:rPr>
          <w:rFonts w:asciiTheme="minorHAnsi" w:hAnsiTheme="minorHAnsi" w:cstheme="minorHAnsi"/>
        </w:rPr>
        <w:t>appaltante ogni</w:t>
      </w:r>
      <w:r w:rsidRPr="00AA4884">
        <w:rPr>
          <w:rFonts w:asciiTheme="minorHAnsi" w:hAnsiTheme="minorHAnsi" w:cstheme="minorHAnsi"/>
        </w:rPr>
        <w:t xml:space="preserve"> circostanza o difficoltà relativa alla realizzazione di quanto previsto.</w:t>
      </w:r>
    </w:p>
    <w:p w14:paraId="3975D9F9" w14:textId="77777777" w:rsidR="00F4225E" w:rsidRPr="00F4225E" w:rsidRDefault="00F4225E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64571FF" w14:textId="7F6676AB" w:rsidR="00F4225E" w:rsidRPr="00F4225E" w:rsidRDefault="00F4225E" w:rsidP="00AA48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225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A4884">
        <w:rPr>
          <w:rFonts w:asciiTheme="minorHAnsi" w:hAnsiTheme="minorHAnsi" w:cstheme="minorHAnsi"/>
          <w:b/>
          <w:bCs/>
          <w:sz w:val="24"/>
          <w:szCs w:val="24"/>
        </w:rPr>
        <w:t>rt</w:t>
      </w:r>
      <w:r w:rsidRPr="00F4225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45D41">
        <w:rPr>
          <w:rFonts w:asciiTheme="minorHAnsi" w:hAnsiTheme="minorHAnsi" w:cstheme="minorHAnsi"/>
          <w:b/>
          <w:bCs/>
          <w:sz w:val="24"/>
          <w:szCs w:val="24"/>
        </w:rPr>
        <w:t xml:space="preserve">8 - </w:t>
      </w:r>
      <w:r w:rsidR="00AA4884" w:rsidRPr="00F4225E">
        <w:rPr>
          <w:rFonts w:asciiTheme="minorHAnsi" w:hAnsiTheme="minorHAnsi" w:cstheme="minorHAnsi"/>
          <w:b/>
          <w:bCs/>
          <w:sz w:val="24"/>
          <w:szCs w:val="24"/>
        </w:rPr>
        <w:t>rinvio ex lege</w:t>
      </w:r>
    </w:p>
    <w:p w14:paraId="0132F7CA" w14:textId="77777777" w:rsidR="00F4225E" w:rsidRDefault="00F4225E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4225E">
        <w:rPr>
          <w:rFonts w:asciiTheme="minorHAnsi" w:hAnsiTheme="minorHAnsi" w:cstheme="minorHAnsi"/>
          <w:sz w:val="24"/>
          <w:szCs w:val="24"/>
        </w:rPr>
        <w:t>Per tutto quanto non espressamente indicato regolato e previsto dal presente capitolato si fa espresso riferimento a quanto prescritto in materia, in quanto compatibile, dalla vigente normativa comunitaria e nazionale.</w:t>
      </w:r>
    </w:p>
    <w:p w14:paraId="60CED1E2" w14:textId="77777777" w:rsidR="005F7DC8" w:rsidRDefault="005F7DC8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D053796" w14:textId="7BF80DA6" w:rsidR="005F7DC8" w:rsidRDefault="005F7DC8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Il RUP Dirige</w:t>
      </w:r>
      <w:r w:rsidR="00916B99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te Scolastico</w:t>
      </w:r>
    </w:p>
    <w:p w14:paraId="40898D0B" w14:textId="3E765AB7" w:rsidR="00916B99" w:rsidRDefault="00916B99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Prof. Andrea Proietti</w:t>
      </w:r>
    </w:p>
    <w:p w14:paraId="0541A273" w14:textId="77777777" w:rsidR="005F7DC8" w:rsidRDefault="005F7DC8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98714CD" w14:textId="5D86CC94" w:rsidR="005F7DC8" w:rsidRPr="00F4225E" w:rsidRDefault="005F7DC8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p w14:paraId="1B58C40C" w14:textId="77777777" w:rsidR="00F4225E" w:rsidRPr="00F4225E" w:rsidRDefault="00F4225E" w:rsidP="00AA488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F4225E" w:rsidRPr="00F4225E" w:rsidSect="00495355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A228" w14:textId="77777777" w:rsidR="007206B9" w:rsidRDefault="007206B9">
      <w:r>
        <w:separator/>
      </w:r>
    </w:p>
  </w:endnote>
  <w:endnote w:type="continuationSeparator" w:id="0">
    <w:p w14:paraId="2DBD72C1" w14:textId="77777777" w:rsidR="007206B9" w:rsidRDefault="0072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F6E5" w14:textId="77777777" w:rsidR="007206B9" w:rsidRDefault="007206B9">
      <w:r>
        <w:separator/>
      </w:r>
    </w:p>
  </w:footnote>
  <w:footnote w:type="continuationSeparator" w:id="0">
    <w:p w14:paraId="22084B05" w14:textId="77777777" w:rsidR="007206B9" w:rsidRDefault="0072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7pt;height:11.7pt" o:bullet="t">
        <v:imagedata r:id="rId1" o:title="mso60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F33513"/>
    <w:multiLevelType w:val="hybridMultilevel"/>
    <w:tmpl w:val="2D14A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C31FA3"/>
    <w:multiLevelType w:val="hybridMultilevel"/>
    <w:tmpl w:val="77A68E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7EA"/>
    <w:multiLevelType w:val="hybridMultilevel"/>
    <w:tmpl w:val="0F7C6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FF14AF"/>
    <w:multiLevelType w:val="hybridMultilevel"/>
    <w:tmpl w:val="37C02B92"/>
    <w:lvl w:ilvl="0" w:tplc="F27E962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1E8A4FAB"/>
    <w:multiLevelType w:val="hybridMultilevel"/>
    <w:tmpl w:val="0EA8B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B78B0"/>
    <w:multiLevelType w:val="hybridMultilevel"/>
    <w:tmpl w:val="B5D8B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04664"/>
    <w:multiLevelType w:val="hybridMultilevel"/>
    <w:tmpl w:val="75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D9D7276"/>
    <w:multiLevelType w:val="hybridMultilevel"/>
    <w:tmpl w:val="CF8CEE50"/>
    <w:lvl w:ilvl="0" w:tplc="896EA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7B74FA"/>
    <w:multiLevelType w:val="hybridMultilevel"/>
    <w:tmpl w:val="48429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E6B61"/>
    <w:multiLevelType w:val="hybridMultilevel"/>
    <w:tmpl w:val="68D087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A3B6D7D"/>
    <w:multiLevelType w:val="hybridMultilevel"/>
    <w:tmpl w:val="6604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06DB3"/>
    <w:multiLevelType w:val="hybridMultilevel"/>
    <w:tmpl w:val="74A2DF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E5D0A"/>
    <w:multiLevelType w:val="hybridMultilevel"/>
    <w:tmpl w:val="FFF4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E7352"/>
    <w:multiLevelType w:val="hybridMultilevel"/>
    <w:tmpl w:val="A5D2068E"/>
    <w:lvl w:ilvl="0" w:tplc="A518FB9A">
      <w:start w:val="1"/>
      <w:numFmt w:val="decimal"/>
      <w:lvlText w:val="%1.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7" w15:restartNumberingAfterBreak="0">
    <w:nsid w:val="7A590779"/>
    <w:multiLevelType w:val="hybridMultilevel"/>
    <w:tmpl w:val="B5947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A28C4"/>
    <w:multiLevelType w:val="hybridMultilevel"/>
    <w:tmpl w:val="232CA52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7"/>
  </w:num>
  <w:num w:numId="2" w16cid:durableId="1659650552">
    <w:abstractNumId w:val="24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8"/>
  </w:num>
  <w:num w:numId="7" w16cid:durableId="414280458">
    <w:abstractNumId w:val="13"/>
  </w:num>
  <w:num w:numId="8" w16cid:durableId="1059788564">
    <w:abstractNumId w:val="34"/>
  </w:num>
  <w:num w:numId="9" w16cid:durableId="1047922356">
    <w:abstractNumId w:val="17"/>
  </w:num>
  <w:num w:numId="10" w16cid:durableId="697507067">
    <w:abstractNumId w:val="49"/>
  </w:num>
  <w:num w:numId="11" w16cid:durableId="1525050453">
    <w:abstractNumId w:val="27"/>
  </w:num>
  <w:num w:numId="12" w16cid:durableId="215092348">
    <w:abstractNumId w:val="8"/>
  </w:num>
  <w:num w:numId="13" w16cid:durableId="164591424">
    <w:abstractNumId w:val="9"/>
  </w:num>
  <w:num w:numId="14" w16cid:durableId="660816996">
    <w:abstractNumId w:val="5"/>
  </w:num>
  <w:num w:numId="15" w16cid:durableId="1596792293">
    <w:abstractNumId w:val="22"/>
  </w:num>
  <w:num w:numId="16" w16cid:durableId="116334776">
    <w:abstractNumId w:val="43"/>
  </w:num>
  <w:num w:numId="17" w16cid:durableId="1658221711">
    <w:abstractNumId w:val="11"/>
  </w:num>
  <w:num w:numId="18" w16cid:durableId="1671061976">
    <w:abstractNumId w:val="32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20"/>
  </w:num>
  <w:num w:numId="22" w16cid:durableId="2027828822">
    <w:abstractNumId w:val="21"/>
  </w:num>
  <w:num w:numId="23" w16cid:durableId="1400326441">
    <w:abstractNumId w:val="23"/>
  </w:num>
  <w:num w:numId="24" w16cid:durableId="654383935">
    <w:abstractNumId w:val="39"/>
  </w:num>
  <w:num w:numId="25" w16cid:durableId="129637878">
    <w:abstractNumId w:val="14"/>
  </w:num>
  <w:num w:numId="26" w16cid:durableId="832912483">
    <w:abstractNumId w:val="40"/>
  </w:num>
  <w:num w:numId="27" w16cid:durableId="282805874">
    <w:abstractNumId w:val="38"/>
  </w:num>
  <w:num w:numId="28" w16cid:durableId="989793468">
    <w:abstractNumId w:val="41"/>
  </w:num>
  <w:num w:numId="29" w16cid:durableId="1666711792">
    <w:abstractNumId w:val="25"/>
  </w:num>
  <w:num w:numId="30" w16cid:durableId="1319728420">
    <w:abstractNumId w:val="37"/>
  </w:num>
  <w:num w:numId="31" w16cid:durableId="84769860">
    <w:abstractNumId w:val="28"/>
  </w:num>
  <w:num w:numId="32" w16cid:durableId="1133985599">
    <w:abstractNumId w:val="45"/>
  </w:num>
  <w:num w:numId="33" w16cid:durableId="249698766">
    <w:abstractNumId w:val="42"/>
  </w:num>
  <w:num w:numId="34" w16cid:durableId="312100135">
    <w:abstractNumId w:val="19"/>
  </w:num>
  <w:num w:numId="35" w16cid:durableId="695085001">
    <w:abstractNumId w:val="30"/>
  </w:num>
  <w:num w:numId="36" w16cid:durableId="1101531198">
    <w:abstractNumId w:val="44"/>
  </w:num>
  <w:num w:numId="37" w16cid:durableId="298191830">
    <w:abstractNumId w:val="36"/>
  </w:num>
  <w:num w:numId="38" w16cid:durableId="1022974829">
    <w:abstractNumId w:val="33"/>
  </w:num>
  <w:num w:numId="39" w16cid:durableId="1963806044">
    <w:abstractNumId w:val="16"/>
  </w:num>
  <w:num w:numId="40" w16cid:durableId="1941794769">
    <w:abstractNumId w:val="6"/>
  </w:num>
  <w:num w:numId="41" w16cid:durableId="956906370">
    <w:abstractNumId w:val="29"/>
  </w:num>
  <w:num w:numId="42" w16cid:durableId="603072810">
    <w:abstractNumId w:val="48"/>
  </w:num>
  <w:num w:numId="43" w16cid:durableId="923611829">
    <w:abstractNumId w:val="12"/>
  </w:num>
  <w:num w:numId="44" w16cid:durableId="225649159">
    <w:abstractNumId w:val="31"/>
  </w:num>
  <w:num w:numId="45" w16cid:durableId="1582837816">
    <w:abstractNumId w:val="10"/>
  </w:num>
  <w:num w:numId="46" w16cid:durableId="417756462">
    <w:abstractNumId w:val="26"/>
  </w:num>
  <w:num w:numId="47" w16cid:durableId="469328229">
    <w:abstractNumId w:val="46"/>
  </w:num>
  <w:num w:numId="48" w16cid:durableId="453598042">
    <w:abstractNumId w:val="15"/>
  </w:num>
  <w:num w:numId="49" w16cid:durableId="455636014">
    <w:abstractNumId w:val="35"/>
  </w:num>
  <w:num w:numId="50" w16cid:durableId="81626847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6F26"/>
    <w:rsid w:val="00021EB3"/>
    <w:rsid w:val="0003018C"/>
    <w:rsid w:val="000309DF"/>
    <w:rsid w:val="00031FEB"/>
    <w:rsid w:val="000371CE"/>
    <w:rsid w:val="00045A89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7C2"/>
    <w:rsid w:val="0007706B"/>
    <w:rsid w:val="0008242F"/>
    <w:rsid w:val="00093B8A"/>
    <w:rsid w:val="000959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4989"/>
    <w:rsid w:val="000C7368"/>
    <w:rsid w:val="000D088F"/>
    <w:rsid w:val="000D1AFB"/>
    <w:rsid w:val="000D246C"/>
    <w:rsid w:val="000D5BE5"/>
    <w:rsid w:val="000E1E4D"/>
    <w:rsid w:val="000E246B"/>
    <w:rsid w:val="000E446C"/>
    <w:rsid w:val="000E53C8"/>
    <w:rsid w:val="000F0CA0"/>
    <w:rsid w:val="000F2156"/>
    <w:rsid w:val="000F290A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EEA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057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16D3"/>
    <w:rsid w:val="001B45D8"/>
    <w:rsid w:val="001B484F"/>
    <w:rsid w:val="001B66F5"/>
    <w:rsid w:val="001B7378"/>
    <w:rsid w:val="001C0302"/>
    <w:rsid w:val="001C6C49"/>
    <w:rsid w:val="001D0BAE"/>
    <w:rsid w:val="001D19C5"/>
    <w:rsid w:val="001D4B64"/>
    <w:rsid w:val="001D6AB1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56C1"/>
    <w:rsid w:val="00217C76"/>
    <w:rsid w:val="00222A56"/>
    <w:rsid w:val="002247FE"/>
    <w:rsid w:val="00225146"/>
    <w:rsid w:val="00226CB3"/>
    <w:rsid w:val="002278FF"/>
    <w:rsid w:val="002319F7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075B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5031"/>
    <w:rsid w:val="002B684C"/>
    <w:rsid w:val="002C1C92"/>
    <w:rsid w:val="002C1E86"/>
    <w:rsid w:val="002D0E53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03DD"/>
    <w:rsid w:val="00326277"/>
    <w:rsid w:val="003336E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28B2"/>
    <w:rsid w:val="003D3743"/>
    <w:rsid w:val="003D4352"/>
    <w:rsid w:val="003D4DDB"/>
    <w:rsid w:val="003D62F9"/>
    <w:rsid w:val="003D63CC"/>
    <w:rsid w:val="003E18F4"/>
    <w:rsid w:val="003E2DA4"/>
    <w:rsid w:val="003E2E35"/>
    <w:rsid w:val="003E5C47"/>
    <w:rsid w:val="003F1944"/>
    <w:rsid w:val="003F2D21"/>
    <w:rsid w:val="003F35BF"/>
    <w:rsid w:val="003F5439"/>
    <w:rsid w:val="004076E9"/>
    <w:rsid w:val="00414813"/>
    <w:rsid w:val="00416DC1"/>
    <w:rsid w:val="004208C7"/>
    <w:rsid w:val="0042568D"/>
    <w:rsid w:val="00430C48"/>
    <w:rsid w:val="0043203A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2D84"/>
    <w:rsid w:val="00473A05"/>
    <w:rsid w:val="00484CE2"/>
    <w:rsid w:val="00485D17"/>
    <w:rsid w:val="00490165"/>
    <w:rsid w:val="004914CB"/>
    <w:rsid w:val="00495355"/>
    <w:rsid w:val="00495A93"/>
    <w:rsid w:val="00496326"/>
    <w:rsid w:val="00497369"/>
    <w:rsid w:val="004A5D71"/>
    <w:rsid w:val="004A786E"/>
    <w:rsid w:val="004B0030"/>
    <w:rsid w:val="004B09C3"/>
    <w:rsid w:val="004B4969"/>
    <w:rsid w:val="004B5569"/>
    <w:rsid w:val="004B62EF"/>
    <w:rsid w:val="004C01A7"/>
    <w:rsid w:val="004C5D30"/>
    <w:rsid w:val="004C65FE"/>
    <w:rsid w:val="004D18E3"/>
    <w:rsid w:val="004D1C0F"/>
    <w:rsid w:val="004D539A"/>
    <w:rsid w:val="004E105E"/>
    <w:rsid w:val="004E511D"/>
    <w:rsid w:val="004E6955"/>
    <w:rsid w:val="004F2905"/>
    <w:rsid w:val="004F7A83"/>
    <w:rsid w:val="00503E82"/>
    <w:rsid w:val="00504B83"/>
    <w:rsid w:val="00505644"/>
    <w:rsid w:val="005057E0"/>
    <w:rsid w:val="005104C0"/>
    <w:rsid w:val="0051112D"/>
    <w:rsid w:val="00517DB9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52C"/>
    <w:rsid w:val="00557E4E"/>
    <w:rsid w:val="005603E9"/>
    <w:rsid w:val="00560F4E"/>
    <w:rsid w:val="00561EFF"/>
    <w:rsid w:val="00565200"/>
    <w:rsid w:val="00566D97"/>
    <w:rsid w:val="00567DE5"/>
    <w:rsid w:val="00567E59"/>
    <w:rsid w:val="005739D2"/>
    <w:rsid w:val="005742C3"/>
    <w:rsid w:val="00576F0F"/>
    <w:rsid w:val="00583A1F"/>
    <w:rsid w:val="00585647"/>
    <w:rsid w:val="00585A3D"/>
    <w:rsid w:val="00585C3D"/>
    <w:rsid w:val="00591CC1"/>
    <w:rsid w:val="00591D2F"/>
    <w:rsid w:val="005A4B10"/>
    <w:rsid w:val="005A5AB6"/>
    <w:rsid w:val="005A7F30"/>
    <w:rsid w:val="005B65B5"/>
    <w:rsid w:val="005B6B90"/>
    <w:rsid w:val="005B79CE"/>
    <w:rsid w:val="005C4295"/>
    <w:rsid w:val="005C77DE"/>
    <w:rsid w:val="005D459C"/>
    <w:rsid w:val="005D71F1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5F7DC8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26B"/>
    <w:rsid w:val="0062483F"/>
    <w:rsid w:val="00632BF9"/>
    <w:rsid w:val="00632F5C"/>
    <w:rsid w:val="00635CBB"/>
    <w:rsid w:val="006378DA"/>
    <w:rsid w:val="00637EE7"/>
    <w:rsid w:val="00641A56"/>
    <w:rsid w:val="00645D41"/>
    <w:rsid w:val="00647912"/>
    <w:rsid w:val="0065050C"/>
    <w:rsid w:val="0065467C"/>
    <w:rsid w:val="00654F37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1E1E"/>
    <w:rsid w:val="00683118"/>
    <w:rsid w:val="00691032"/>
    <w:rsid w:val="00692070"/>
    <w:rsid w:val="006A0091"/>
    <w:rsid w:val="006A0432"/>
    <w:rsid w:val="006A149B"/>
    <w:rsid w:val="006A73FD"/>
    <w:rsid w:val="006B0653"/>
    <w:rsid w:val="006B162F"/>
    <w:rsid w:val="006B2D33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6416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0729C"/>
    <w:rsid w:val="00710D1C"/>
    <w:rsid w:val="007145D4"/>
    <w:rsid w:val="00717756"/>
    <w:rsid w:val="007206B9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3AB8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6CCA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4960"/>
    <w:rsid w:val="007F5DF0"/>
    <w:rsid w:val="007F6DF6"/>
    <w:rsid w:val="00801BA6"/>
    <w:rsid w:val="00810236"/>
    <w:rsid w:val="00811416"/>
    <w:rsid w:val="00813CC0"/>
    <w:rsid w:val="00815D29"/>
    <w:rsid w:val="00821BBE"/>
    <w:rsid w:val="0082652D"/>
    <w:rsid w:val="0082689D"/>
    <w:rsid w:val="008303A6"/>
    <w:rsid w:val="00831FA2"/>
    <w:rsid w:val="00832733"/>
    <w:rsid w:val="0083680A"/>
    <w:rsid w:val="00842499"/>
    <w:rsid w:val="00842B92"/>
    <w:rsid w:val="00842E3A"/>
    <w:rsid w:val="008440AB"/>
    <w:rsid w:val="008459E3"/>
    <w:rsid w:val="00847C39"/>
    <w:rsid w:val="00847E8A"/>
    <w:rsid w:val="008501A3"/>
    <w:rsid w:val="00854281"/>
    <w:rsid w:val="00854B7C"/>
    <w:rsid w:val="00855040"/>
    <w:rsid w:val="00860CF4"/>
    <w:rsid w:val="008664A2"/>
    <w:rsid w:val="00866D20"/>
    <w:rsid w:val="0086776E"/>
    <w:rsid w:val="00871E16"/>
    <w:rsid w:val="00872F50"/>
    <w:rsid w:val="008730F2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13D"/>
    <w:rsid w:val="008B6767"/>
    <w:rsid w:val="008B67E9"/>
    <w:rsid w:val="008C0440"/>
    <w:rsid w:val="008C1400"/>
    <w:rsid w:val="008C58B2"/>
    <w:rsid w:val="008D1317"/>
    <w:rsid w:val="008D3C8C"/>
    <w:rsid w:val="008E0DE5"/>
    <w:rsid w:val="008E50A5"/>
    <w:rsid w:val="008E7578"/>
    <w:rsid w:val="008F28B1"/>
    <w:rsid w:val="008F3CD8"/>
    <w:rsid w:val="008F4162"/>
    <w:rsid w:val="008F7B5F"/>
    <w:rsid w:val="0090455C"/>
    <w:rsid w:val="00906BD1"/>
    <w:rsid w:val="009105E1"/>
    <w:rsid w:val="0091078D"/>
    <w:rsid w:val="00916B99"/>
    <w:rsid w:val="0091793A"/>
    <w:rsid w:val="00923596"/>
    <w:rsid w:val="009246DD"/>
    <w:rsid w:val="00931264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67291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0E0"/>
    <w:rsid w:val="00A023CC"/>
    <w:rsid w:val="00A065E0"/>
    <w:rsid w:val="00A10524"/>
    <w:rsid w:val="00A11AC5"/>
    <w:rsid w:val="00A11DB1"/>
    <w:rsid w:val="00A13318"/>
    <w:rsid w:val="00A15AF4"/>
    <w:rsid w:val="00A174A1"/>
    <w:rsid w:val="00A20A7A"/>
    <w:rsid w:val="00A238F2"/>
    <w:rsid w:val="00A31FDE"/>
    <w:rsid w:val="00A32674"/>
    <w:rsid w:val="00A32D87"/>
    <w:rsid w:val="00A36456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F28"/>
    <w:rsid w:val="00A76733"/>
    <w:rsid w:val="00A909FA"/>
    <w:rsid w:val="00A90F34"/>
    <w:rsid w:val="00A91C14"/>
    <w:rsid w:val="00A94E66"/>
    <w:rsid w:val="00AA27AA"/>
    <w:rsid w:val="00AA3F35"/>
    <w:rsid w:val="00AA4884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326"/>
    <w:rsid w:val="00B26CEE"/>
    <w:rsid w:val="00B2714A"/>
    <w:rsid w:val="00B31B50"/>
    <w:rsid w:val="00B31F80"/>
    <w:rsid w:val="00B32055"/>
    <w:rsid w:val="00B325B9"/>
    <w:rsid w:val="00B33F7A"/>
    <w:rsid w:val="00B353E9"/>
    <w:rsid w:val="00B36274"/>
    <w:rsid w:val="00B40350"/>
    <w:rsid w:val="00B419CF"/>
    <w:rsid w:val="00B4439D"/>
    <w:rsid w:val="00B53156"/>
    <w:rsid w:val="00B65801"/>
    <w:rsid w:val="00B661F6"/>
    <w:rsid w:val="00B671DC"/>
    <w:rsid w:val="00B71DE3"/>
    <w:rsid w:val="00B75D3C"/>
    <w:rsid w:val="00B82B8B"/>
    <w:rsid w:val="00B833F2"/>
    <w:rsid w:val="00B84347"/>
    <w:rsid w:val="00B87A3D"/>
    <w:rsid w:val="00B90CAE"/>
    <w:rsid w:val="00B92B95"/>
    <w:rsid w:val="00BA495A"/>
    <w:rsid w:val="00BA532D"/>
    <w:rsid w:val="00BA6212"/>
    <w:rsid w:val="00BA6627"/>
    <w:rsid w:val="00BA6BB5"/>
    <w:rsid w:val="00BB0CD6"/>
    <w:rsid w:val="00BB1BF6"/>
    <w:rsid w:val="00BB38A7"/>
    <w:rsid w:val="00BB6BE2"/>
    <w:rsid w:val="00BC3780"/>
    <w:rsid w:val="00BC3F8C"/>
    <w:rsid w:val="00BC4A31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338D7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B16"/>
    <w:rsid w:val="00C61D88"/>
    <w:rsid w:val="00C65994"/>
    <w:rsid w:val="00C678B4"/>
    <w:rsid w:val="00C728F6"/>
    <w:rsid w:val="00C73C74"/>
    <w:rsid w:val="00C81AF0"/>
    <w:rsid w:val="00C85681"/>
    <w:rsid w:val="00C9066B"/>
    <w:rsid w:val="00C925E4"/>
    <w:rsid w:val="00CA1832"/>
    <w:rsid w:val="00CA5038"/>
    <w:rsid w:val="00CA7616"/>
    <w:rsid w:val="00CB2568"/>
    <w:rsid w:val="00CB5774"/>
    <w:rsid w:val="00CB5D21"/>
    <w:rsid w:val="00CC066E"/>
    <w:rsid w:val="00CC0C95"/>
    <w:rsid w:val="00CC26D3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6FF7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478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7AF9"/>
    <w:rsid w:val="00E326AB"/>
    <w:rsid w:val="00E34D43"/>
    <w:rsid w:val="00E37236"/>
    <w:rsid w:val="00E42158"/>
    <w:rsid w:val="00E4244A"/>
    <w:rsid w:val="00E455B8"/>
    <w:rsid w:val="00E5247C"/>
    <w:rsid w:val="00E568DF"/>
    <w:rsid w:val="00E61183"/>
    <w:rsid w:val="00E674BE"/>
    <w:rsid w:val="00E72F8E"/>
    <w:rsid w:val="00E73B87"/>
    <w:rsid w:val="00E74814"/>
    <w:rsid w:val="00E765F6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1FED"/>
    <w:rsid w:val="00EC303F"/>
    <w:rsid w:val="00EC3183"/>
    <w:rsid w:val="00ED03F7"/>
    <w:rsid w:val="00ED1016"/>
    <w:rsid w:val="00ED5317"/>
    <w:rsid w:val="00ED65F7"/>
    <w:rsid w:val="00EE2CF3"/>
    <w:rsid w:val="00EF2F9C"/>
    <w:rsid w:val="00EF30AB"/>
    <w:rsid w:val="00EF617D"/>
    <w:rsid w:val="00F03A28"/>
    <w:rsid w:val="00F04C4F"/>
    <w:rsid w:val="00F07A6A"/>
    <w:rsid w:val="00F07F9B"/>
    <w:rsid w:val="00F101FA"/>
    <w:rsid w:val="00F1270B"/>
    <w:rsid w:val="00F1445C"/>
    <w:rsid w:val="00F164C7"/>
    <w:rsid w:val="00F176EF"/>
    <w:rsid w:val="00F201A9"/>
    <w:rsid w:val="00F20B6B"/>
    <w:rsid w:val="00F2100B"/>
    <w:rsid w:val="00F21F17"/>
    <w:rsid w:val="00F25D50"/>
    <w:rsid w:val="00F2677F"/>
    <w:rsid w:val="00F35E5A"/>
    <w:rsid w:val="00F36291"/>
    <w:rsid w:val="00F36451"/>
    <w:rsid w:val="00F37F90"/>
    <w:rsid w:val="00F4020B"/>
    <w:rsid w:val="00F4225E"/>
    <w:rsid w:val="00F423A4"/>
    <w:rsid w:val="00F43473"/>
    <w:rsid w:val="00F4348F"/>
    <w:rsid w:val="00F4475D"/>
    <w:rsid w:val="00F50E39"/>
    <w:rsid w:val="00F52F0D"/>
    <w:rsid w:val="00F52FF5"/>
    <w:rsid w:val="00F55BE0"/>
    <w:rsid w:val="00F645F8"/>
    <w:rsid w:val="00F74C9B"/>
    <w:rsid w:val="00F800D7"/>
    <w:rsid w:val="00F80382"/>
    <w:rsid w:val="00F8229C"/>
    <w:rsid w:val="00F95EBA"/>
    <w:rsid w:val="00F97F53"/>
    <w:rsid w:val="00FA166C"/>
    <w:rsid w:val="00FA22A4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1F00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3D62F9"/>
    <w:rPr>
      <w:b/>
      <w:bCs/>
    </w:rPr>
  </w:style>
  <w:style w:type="character" w:styleId="Enfasicorsivo">
    <w:name w:val="Emphasis"/>
    <w:basedOn w:val="Carpredefinitoparagrafo"/>
    <w:uiPriority w:val="20"/>
    <w:qFormat/>
    <w:rsid w:val="003D62F9"/>
    <w:rPr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D62F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D62F9"/>
    <w:rPr>
      <w:rFonts w:ascii="Calibri" w:hAnsi="Calibri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unhideWhenUsed/>
    <w:rsid w:val="003D62F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D62F9"/>
    <w:rPr>
      <w:rFonts w:ascii="Calibri" w:eastAsia="Calibri" w:hAnsi="Calibri"/>
      <w:sz w:val="16"/>
      <w:szCs w:val="16"/>
      <w:lang w:eastAsia="en-US"/>
    </w:rPr>
  </w:style>
  <w:style w:type="paragraph" w:customStyle="1" w:styleId="usoboll1">
    <w:name w:val="usoboll1"/>
    <w:basedOn w:val="Normale"/>
    <w:uiPriority w:val="99"/>
    <w:rsid w:val="003D62F9"/>
    <w:pPr>
      <w:widowControl w:val="0"/>
      <w:spacing w:line="482" w:lineRule="exact"/>
      <w:jc w:val="both"/>
    </w:pPr>
    <w:rPr>
      <w:sz w:val="24"/>
    </w:rPr>
  </w:style>
  <w:style w:type="paragraph" w:styleId="Testodelblocco">
    <w:name w:val="Block Text"/>
    <w:basedOn w:val="Normale"/>
    <w:uiPriority w:val="99"/>
    <w:rsid w:val="003D62F9"/>
    <w:pPr>
      <w:ind w:left="705" w:right="850"/>
      <w:jc w:val="both"/>
    </w:pPr>
    <w:rPr>
      <w:bCs/>
      <w:sz w:val="24"/>
      <w:szCs w:val="22"/>
    </w:rPr>
  </w:style>
  <w:style w:type="paragraph" w:customStyle="1" w:styleId="testo3">
    <w:name w:val="testo3"/>
    <w:basedOn w:val="Rientronormale"/>
    <w:uiPriority w:val="99"/>
    <w:rsid w:val="003D62F9"/>
    <w:pPr>
      <w:spacing w:after="120"/>
      <w:ind w:left="1276"/>
      <w:jc w:val="both"/>
    </w:pPr>
    <w:rPr>
      <w:sz w:val="22"/>
    </w:rPr>
  </w:style>
  <w:style w:type="paragraph" w:styleId="Numeroelenco">
    <w:name w:val="List Number"/>
    <w:basedOn w:val="Normale"/>
    <w:uiPriority w:val="99"/>
    <w:rsid w:val="003D62F9"/>
    <w:pPr>
      <w:tabs>
        <w:tab w:val="num" w:pos="360"/>
      </w:tabs>
      <w:spacing w:line="520" w:lineRule="exact"/>
      <w:ind w:left="357" w:hanging="357"/>
    </w:pPr>
    <w:rPr>
      <w:sz w:val="24"/>
    </w:rPr>
  </w:style>
  <w:style w:type="paragraph" w:styleId="Rientronormale">
    <w:name w:val="Normal Indent"/>
    <w:basedOn w:val="Normale"/>
    <w:semiHidden/>
    <w:unhideWhenUsed/>
    <w:rsid w:val="003D62F9"/>
    <w:pPr>
      <w:ind w:left="708"/>
    </w:pPr>
  </w:style>
  <w:style w:type="character" w:customStyle="1" w:styleId="Corpodeltesto2Exact">
    <w:name w:val="Corpo del testo (2) Exact"/>
    <w:rsid w:val="00CC26D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29</cp:revision>
  <cp:lastPrinted>2020-02-24T13:03:00Z</cp:lastPrinted>
  <dcterms:created xsi:type="dcterms:W3CDTF">2024-02-13T10:41:00Z</dcterms:created>
  <dcterms:modified xsi:type="dcterms:W3CDTF">2024-07-23T07:03:00Z</dcterms:modified>
</cp:coreProperties>
</file>