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right"/>
        <w:rPr/>
      </w:pPr>
      <w:r>
        <w:rPr>
          <w:rFonts w:eastAsia="Times New Roman" w:cs="Calibri" w:cstheme="minorHAnsi"/>
          <w:b/>
          <w:bCs/>
          <w:sz w:val="24"/>
          <w:szCs w:val="24"/>
          <w:lang w:eastAsia="it-IT"/>
        </w:rPr>
        <w:t>Allegato 4</w:t>
      </w:r>
    </w:p>
    <w:p>
      <w:pPr>
        <w:pStyle w:val="Normal"/>
        <w:spacing w:before="0" w:after="0"/>
        <w:jc w:val="right"/>
        <w:rPr/>
      </w:pPr>
      <w:r>
        <w:rPr>
          <w:rFonts w:eastAsia="Times New Roman" w:cs="Calibri" w:cstheme="minorHAnsi"/>
          <w:sz w:val="24"/>
          <w:szCs w:val="24"/>
          <w:lang w:eastAsia="it-IT"/>
        </w:rPr>
        <w:t>Al Dirigente Scolastico</w:t>
      </w:r>
    </w:p>
    <w:p>
      <w:pPr>
        <w:pStyle w:val="Normal"/>
        <w:spacing w:lineRule="auto" w:line="240" w:before="0" w:after="0"/>
        <w:ind w:left="6373" w:hanging="0"/>
        <w:jc w:val="right"/>
        <w:rPr/>
      </w:pPr>
      <w:r>
        <w:rPr>
          <w:rFonts w:eastAsia="Times New Roman" w:cs="Calibri" w:cstheme="minorHAnsi"/>
          <w:color w:val="000000" w:themeColor="text1"/>
          <w:sz w:val="24"/>
          <w:szCs w:val="24"/>
          <w:lang w:eastAsia="it-IT"/>
        </w:rPr>
        <w:t xml:space="preserve">dell’Istituto Comprensivo Perugia 2 di </w:t>
      </w:r>
      <w:r>
        <w:rPr>
          <w:rFonts w:cs="Calibri" w:cstheme="minorHAnsi"/>
          <w:color w:val="000000" w:themeColor="text1"/>
          <w:sz w:val="24"/>
          <w:szCs w:val="24"/>
          <w:lang w:eastAsia="it-IT"/>
        </w:rPr>
        <w:t>Perugia (Pg)</w:t>
      </w:r>
    </w:p>
    <w:p>
      <w:pPr>
        <w:pStyle w:val="Normal"/>
        <w:spacing w:lineRule="auto" w:line="240" w:before="1560" w:after="0"/>
        <w:ind w:hanging="0"/>
        <w:jc w:val="both"/>
        <w:rPr/>
      </w:pPr>
      <w:r>
        <w:rPr>
          <w:rFonts w:cs="Calibri"/>
          <w:b/>
          <w:bCs/>
          <w:color w:val="000000" w:themeColor="text1"/>
          <w:sz w:val="24"/>
          <w:szCs w:val="24"/>
        </w:rPr>
        <w:t>Oggetto:</w:t>
      </w:r>
      <w:r>
        <w:rPr>
          <w:rFonts w:cs="Calibri"/>
          <w:color w:val="000000" w:themeColor="text1"/>
          <w:sz w:val="24"/>
          <w:szCs w:val="24"/>
        </w:rPr>
        <w:t xml:space="preserve"> </w:t>
      </w:r>
      <w:r>
        <w:rPr>
          <w:rFonts w:cs="Calibri"/>
          <w:bCs/>
          <w:color w:val="000000" w:themeColor="text1"/>
          <w:sz w:val="24"/>
          <w:szCs w:val="24"/>
          <w:u w:val="single"/>
        </w:rPr>
        <w:t xml:space="preserve">Dichiarazione di inesistenza di incompatibilità relativa all’attività di </w:t>
      </w:r>
      <w:r>
        <w:rPr>
          <w:rFonts w:cs="Calibri"/>
          <w:b/>
          <w:i/>
          <w:iCs/>
          <w:color w:val="000000" w:themeColor="text1"/>
          <w:sz w:val="24"/>
          <w:szCs w:val="24"/>
          <w:u w:val="single"/>
        </w:rPr>
        <w:t>Esperto - Formatore</w:t>
      </w:r>
      <w:r>
        <w:rPr>
          <w:rFonts w:cs="Calibri"/>
          <w:bCs/>
          <w:color w:val="000000" w:themeColor="text1"/>
          <w:sz w:val="24"/>
          <w:szCs w:val="24"/>
          <w:u w:val="single"/>
        </w:rPr>
        <w:t xml:space="preserve"> per l’attuazione del Progetto finanziato con i Fondi PNRR nell’ambito del decreto del Ministro dell’Istruzione e del Merito 02 febbraio 2024, n. 19, Missione 4 – </w:t>
      </w:r>
      <w:r>
        <w:rPr>
          <w:rFonts w:cs="Calibri"/>
          <w:bCs/>
          <w:i/>
          <w:iCs/>
          <w:color w:val="000000" w:themeColor="text1"/>
          <w:sz w:val="24"/>
          <w:szCs w:val="24"/>
          <w:u w:val="single"/>
        </w:rPr>
        <w:t>Istruzione e Ricerca</w:t>
      </w:r>
      <w:r>
        <w:rPr>
          <w:rFonts w:cs="Calibri"/>
          <w:bCs/>
          <w:color w:val="000000" w:themeColor="text1"/>
          <w:sz w:val="24"/>
          <w:szCs w:val="24"/>
          <w:u w:val="single"/>
        </w:rPr>
        <w:t xml:space="preserve"> – Componente 1 – “</w:t>
      </w:r>
      <w:r>
        <w:rPr>
          <w:rFonts w:cs="Calibri"/>
          <w:bCs/>
          <w:i/>
          <w:iCs/>
          <w:color w:val="000000" w:themeColor="text1"/>
          <w:sz w:val="24"/>
          <w:szCs w:val="24"/>
          <w:u w:val="single"/>
        </w:rPr>
        <w:t>Potenziamento dell’offerta dei servizi di istruzione: dagli asili nido alle Università”</w:t>
      </w:r>
      <w:r>
        <w:rPr>
          <w:rFonts w:cs="Calibri"/>
          <w:bCs/>
          <w:color w:val="000000" w:themeColor="text1"/>
          <w:sz w:val="24"/>
          <w:szCs w:val="24"/>
          <w:u w:val="single"/>
        </w:rPr>
        <w:t xml:space="preserve"> – Investimento 1.4 “</w:t>
      </w:r>
      <w:r>
        <w:rPr>
          <w:rFonts w:cs="Calibri"/>
          <w:bCs/>
          <w:i/>
          <w:iCs/>
          <w:color w:val="000000" w:themeColor="text1"/>
          <w:sz w:val="24"/>
          <w:szCs w:val="24"/>
          <w:u w:val="single"/>
        </w:rPr>
        <w:t>Intervento straordinario finalizzato alla riduzione dei divari territoriali nelle scuole secondarie di primo e di secondo grado e alla lotta alla dispersione scolastica</w:t>
      </w:r>
      <w:r>
        <w:rPr>
          <w:rFonts w:cs="Calibri"/>
          <w:bCs/>
          <w:color w:val="000000" w:themeColor="text1"/>
          <w:sz w:val="24"/>
          <w:szCs w:val="24"/>
          <w:u w:val="single"/>
        </w:rPr>
        <w:t>” – “</w:t>
      </w:r>
      <w:r>
        <w:rPr>
          <w:rFonts w:cs="Calibri"/>
          <w:bCs/>
          <w:i/>
          <w:iCs/>
          <w:color w:val="000000" w:themeColor="text1"/>
          <w:sz w:val="24"/>
          <w:szCs w:val="24"/>
          <w:u w:val="single"/>
        </w:rPr>
        <w:t>Azioni di prevenzione e contrasto della dispersione scolastica</w:t>
      </w:r>
      <w:r>
        <w:rPr>
          <w:rFonts w:cs="Calibri"/>
          <w:bCs/>
          <w:color w:val="000000" w:themeColor="text1"/>
          <w:sz w:val="24"/>
          <w:szCs w:val="24"/>
          <w:u w:val="single"/>
        </w:rPr>
        <w:t>” (D.M. 19/2024), finanziato dall’Unione europea – Next Generation EU</w:t>
      </w:r>
    </w:p>
    <w:p>
      <w:pPr>
        <w:pStyle w:val="Normal"/>
        <w:spacing w:lineRule="auto" w:line="240" w:before="0" w:after="0"/>
        <w:ind w:hanging="0"/>
        <w:jc w:val="both"/>
        <w:rPr/>
      </w:pPr>
      <w:r>
        <w:rPr>
          <w:rFonts w:cs="Calibri"/>
          <w:b/>
          <w:color w:val="000000" w:themeColor="text1"/>
          <w:sz w:val="24"/>
          <w:szCs w:val="24"/>
          <w:u w:val="single"/>
        </w:rPr>
        <w:t>Titolo del Progetto: Insieme ce la faremo!;</w:t>
      </w:r>
    </w:p>
    <w:p>
      <w:pPr>
        <w:pStyle w:val="Normal"/>
        <w:spacing w:lineRule="auto" w:line="240" w:before="0" w:after="0"/>
        <w:ind w:hanging="0"/>
        <w:jc w:val="both"/>
        <w:rPr/>
      </w:pPr>
      <w:r>
        <w:rPr>
          <w:rFonts w:cs="Calibri"/>
          <w:b/>
          <w:color w:val="000000" w:themeColor="text1"/>
          <w:sz w:val="24"/>
          <w:szCs w:val="24"/>
          <w:u w:val="single"/>
        </w:rPr>
        <w:t>Identificativo progetto: M4C1I1.4-2024-1322-P-50614;</w:t>
      </w:r>
    </w:p>
    <w:p>
      <w:pPr>
        <w:pStyle w:val="Normal"/>
        <w:spacing w:lineRule="auto" w:line="240" w:before="0" w:after="0"/>
        <w:ind w:hanging="0"/>
        <w:jc w:val="both"/>
        <w:rPr/>
      </w:pPr>
      <w:r>
        <w:rPr>
          <w:rFonts w:cs="Calibri"/>
          <w:b/>
          <w:color w:val="000000" w:themeColor="text1"/>
          <w:sz w:val="24"/>
          <w:szCs w:val="24"/>
          <w:u w:val="single"/>
        </w:rPr>
        <w:t>CUP:</w:t>
      </w:r>
      <w:r>
        <w:rPr>
          <w:rFonts w:cs="Calibri"/>
          <w:color w:val="000000" w:themeColor="text1"/>
          <w:sz w:val="24"/>
          <w:szCs w:val="24"/>
          <w:u w:val="single"/>
        </w:rPr>
        <w:t xml:space="preserve"> </w:t>
      </w:r>
      <w:bookmarkStart w:id="0" w:name="_Hlk156830257"/>
      <w:r>
        <w:rPr>
          <w:rFonts w:cs="Calibri"/>
          <w:b/>
          <w:color w:val="000000" w:themeColor="text1"/>
          <w:sz w:val="24"/>
          <w:szCs w:val="24"/>
          <w:u w:val="single"/>
        </w:rPr>
        <w:t>G94D21000350006;</w:t>
      </w:r>
      <w:bookmarkEnd w:id="0"/>
    </w:p>
    <w:p>
      <w:pPr>
        <w:pStyle w:val="Normal"/>
        <w:spacing w:before="240" w:after="120"/>
        <w:ind w:hanging="0"/>
        <w:jc w:val="both"/>
        <w:rPr/>
      </w:pPr>
      <w:r>
        <w:rPr>
          <w:rFonts w:cs="Calibri" w:cstheme="minorHAnsi"/>
          <w:color w:val="000000"/>
          <w:sz w:val="24"/>
          <w:szCs w:val="24"/>
        </w:rPr>
        <w:t xml:space="preserve">Il/La sottoscritto/a________________________________________________ nato/a a _______________________(___), in data______________________, C.F. _________________, </w:t>
      </w:r>
      <w:r>
        <w:rPr>
          <w:rFonts w:eastAsia="Calibri" w:cs="Calibri" w:cstheme="minorHAnsi"/>
          <w:color w:val="000000"/>
          <w:sz w:val="24"/>
          <w:szCs w:val="24"/>
        </w:rPr>
        <w:t>in servizio presso questa Istituzione Scolastica/altra Istituzione Scolastica, con la qualifica di __________________, in relazione all’incarico di Esperto Formatore dei percorsi di “</w:t>
      </w:r>
      <w:r>
        <w:rPr>
          <w:rFonts w:eastAsia="Calibri" w:cs="Calibri" w:cstheme="minorHAnsi"/>
          <w:i/>
          <w:iCs/>
          <w:color w:val="000000"/>
          <w:sz w:val="24"/>
          <w:szCs w:val="24"/>
        </w:rPr>
        <w:t>Competenze di base, di motivazione e accompagnamento</w:t>
      </w:r>
      <w:r>
        <w:rPr>
          <w:rFonts w:eastAsia="Calibri" w:cs="Calibri" w:cstheme="minorHAnsi"/>
          <w:color w:val="000000"/>
          <w:sz w:val="24"/>
          <w:szCs w:val="24"/>
        </w:rPr>
        <w:t xml:space="preserve">” nell’ambito dell’attuazione del progetto in oggetto. </w:t>
      </w:r>
    </w:p>
    <w:p>
      <w:pPr>
        <w:pStyle w:val="Normal"/>
        <w:tabs>
          <w:tab w:val="clear" w:pos="708"/>
          <w:tab w:val="center" w:pos="1134" w:leader="none"/>
        </w:tabs>
        <w:spacing w:before="120" w:after="120"/>
        <w:ind w:right="567" w:hanging="0"/>
        <w:jc w:val="center"/>
        <w:rPr>
          <w:rFonts w:cs="Calibri" w:cstheme="minorHAnsi"/>
          <w:sz w:val="24"/>
          <w:szCs w:val="24"/>
        </w:rPr>
      </w:pPr>
      <w:r>
        <w:rPr>
          <w:rFonts w:cs="Calibri" w:cstheme="minorHAnsi"/>
          <w:sz w:val="24"/>
          <w:szCs w:val="24"/>
        </w:rPr>
        <w:t>***</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 xml:space="preserve">VISTA </w:t>
        <w:tab/>
      </w:r>
      <w:r>
        <w:rPr>
          <w:rFonts w:cs="Calibri" w:cstheme="minorHAnsi"/>
          <w:sz w:val="24"/>
          <w:szCs w:val="24"/>
        </w:rPr>
        <w:t>la legge 7 agosto 1990, n. 241, recante «</w:t>
      </w:r>
      <w:r>
        <w:rPr>
          <w:rFonts w:cs="Calibri" w:cstheme="minorHAnsi"/>
          <w:i/>
          <w:iCs/>
          <w:sz w:val="24"/>
          <w:szCs w:val="24"/>
        </w:rPr>
        <w:t>Nuove norme in materia di procedimento amministrativo e di diritto di accesso ai documenti amministrativi</w:t>
      </w:r>
      <w:r>
        <w:rPr>
          <w:rFonts w:cs="Calibri" w:cstheme="minorHAnsi"/>
          <w:sz w:val="24"/>
          <w:szCs w:val="24"/>
        </w:rPr>
        <w:t>»;</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VISTI</w:t>
      </w:r>
      <w:r>
        <w:rPr>
          <w:rFonts w:cs="Calibri" w:cstheme="minorHAnsi"/>
          <w:sz w:val="24"/>
          <w:szCs w:val="24"/>
        </w:rPr>
        <w:t xml:space="preserve"> </w:t>
        <w:tab/>
        <w:t>in particolare, gli articoli 5 e 6-</w:t>
      </w:r>
      <w:r>
        <w:rPr>
          <w:rFonts w:cs="Calibri" w:cstheme="minorHAnsi"/>
          <w:i/>
          <w:iCs/>
          <w:sz w:val="24"/>
          <w:szCs w:val="24"/>
        </w:rPr>
        <w:t xml:space="preserve">bis </w:t>
      </w:r>
      <w:r>
        <w:rPr>
          <w:rFonts w:cs="Calibri" w:cstheme="minorHAnsi"/>
          <w:sz w:val="24"/>
          <w:szCs w:val="24"/>
        </w:rPr>
        <w:t>della predetta legge;</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 xml:space="preserve">VISTO </w:t>
        <w:tab/>
      </w:r>
      <w:r>
        <w:rPr>
          <w:rFonts w:cs="Calibri" w:cstheme="minorHAnsi"/>
          <w:sz w:val="24"/>
          <w:szCs w:val="24"/>
          <w:lang w:bidi="it-IT"/>
        </w:rPr>
        <w:t xml:space="preserve">il decreto legislativo 30 marzo 2001, n. 165, recante </w:t>
      </w:r>
      <w:r>
        <w:rPr>
          <w:rFonts w:cs="Calibri" w:cstheme="minorHAnsi"/>
          <w:sz w:val="24"/>
          <w:szCs w:val="24"/>
        </w:rPr>
        <w:t>«</w:t>
      </w:r>
      <w:r>
        <w:rPr>
          <w:rFonts w:cs="Calibri" w:cstheme="minorHAnsi"/>
          <w:i/>
          <w:iCs/>
          <w:sz w:val="24"/>
          <w:szCs w:val="24"/>
          <w:lang w:bidi="it-IT"/>
        </w:rPr>
        <w:t>Norme generali sull’ordinamento del lavoro alle dipendenze delle amministrazioni pubbliche</w:t>
      </w:r>
      <w:bookmarkStart w:id="1" w:name="_Hlk132359602"/>
      <w:r>
        <w:rPr>
          <w:rFonts w:cs="Calibri" w:cstheme="minorHAnsi"/>
          <w:sz w:val="24"/>
          <w:szCs w:val="24"/>
        </w:rPr>
        <w:t>»</w:t>
      </w:r>
      <w:bookmarkEnd w:id="1"/>
      <w:r>
        <w:rPr>
          <w:rFonts w:cs="Calibri" w:cstheme="minorHAnsi"/>
          <w:sz w:val="24"/>
          <w:szCs w:val="24"/>
        </w:rPr>
        <w:t>;</w:t>
      </w:r>
    </w:p>
    <w:p>
      <w:pPr>
        <w:pStyle w:val="Normal"/>
        <w:spacing w:lineRule="auto" w:line="240" w:before="60" w:after="0"/>
        <w:ind w:left="1134" w:hanging="1134"/>
        <w:jc w:val="both"/>
        <w:rPr>
          <w:rFonts w:cs="Calibri" w:cstheme="minorHAnsi"/>
          <w:b/>
          <w:b/>
          <w:bCs/>
          <w:sz w:val="24"/>
          <w:szCs w:val="24"/>
        </w:rPr>
      </w:pPr>
      <w:r>
        <w:rPr>
          <w:rFonts w:cs="Calibri" w:cstheme="minorHAnsi"/>
          <w:b/>
          <w:bCs/>
          <w:sz w:val="24"/>
          <w:szCs w:val="24"/>
        </w:rPr>
        <w:t xml:space="preserve">VISTO </w:t>
        <w:tab/>
      </w:r>
      <w:r>
        <w:rPr>
          <w:rFonts w:cs="Calibri" w:cstheme="minorHAnsi"/>
          <w:sz w:val="24"/>
          <w:szCs w:val="24"/>
        </w:rPr>
        <w:t>il decreto legislativo 8 aprile 2013, n. 39, recante «</w:t>
      </w:r>
      <w:r>
        <w:rPr>
          <w:rFonts w:cs="Calibri" w:cstheme="minorHAnsi"/>
          <w:i/>
          <w:iCs/>
          <w:sz w:val="24"/>
          <w:szCs w:val="24"/>
        </w:rPr>
        <w:t>Disposizioni in materia di inconferibilità e incompatibilità di incarichi presso le pubbliche amministrazioni e presso gli enti privati in controllo pubblico, a norma dell'articolo 1, commi 49 e 50, della legge 6 novembre 2012, n. 190</w:t>
      </w:r>
      <w:r>
        <w:rPr>
          <w:rFonts w:cs="Calibri" w:cstheme="minorHAnsi"/>
          <w:sz w:val="24"/>
          <w:szCs w:val="24"/>
        </w:rPr>
        <w:t>»;</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VISTO</w:t>
      </w:r>
      <w:r>
        <w:rPr>
          <w:rFonts w:cs="Calibri" w:cstheme="minorHAnsi"/>
          <w:sz w:val="24"/>
          <w:szCs w:val="24"/>
        </w:rPr>
        <w:t xml:space="preserve"> </w:t>
        <w:tab/>
        <w:t>il Codice di comportamento dei dipendenti del Ministero dell’istruzione, adottato con D.M. del 26 aprile 2022, n. 105;</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VISTA</w:t>
        <w:tab/>
      </w:r>
      <w:r>
        <w:rPr>
          <w:rFonts w:cs="Calibri" w:cstheme="minorHAnsi"/>
          <w:sz w:val="24"/>
          <w:szCs w:val="24"/>
        </w:rPr>
        <w:t xml:space="preserve"> </w:t>
      </w:r>
      <w:r>
        <w:rPr>
          <w:rFonts w:cs="Calibri" w:cstheme="minorHAnsi"/>
          <w:sz w:val="24"/>
          <w:szCs w:val="24"/>
          <w:lang w:bidi="it-IT"/>
        </w:rPr>
        <w:t xml:space="preserve">la legge 6 novembre 2012, n. 190, recante </w:t>
      </w:r>
      <w:r>
        <w:rPr>
          <w:rFonts w:cs="Calibri" w:cstheme="minorHAnsi"/>
          <w:sz w:val="24"/>
          <w:szCs w:val="24"/>
        </w:rPr>
        <w:t>«</w:t>
      </w:r>
      <w:r>
        <w:rPr>
          <w:rFonts w:cs="Calibri" w:cstheme="minorHAnsi"/>
          <w:i/>
          <w:iCs/>
          <w:sz w:val="24"/>
          <w:szCs w:val="24"/>
          <w:lang w:bidi="it-IT"/>
        </w:rPr>
        <w:t>Disposizioni per la prevenzione e la repressione della corruzione e dell’illegalità nella pubblica amministrazione</w:t>
      </w:r>
      <w:r>
        <w:rPr>
          <w:rFonts w:cs="Calibri" w:cstheme="minorHAnsi"/>
          <w:sz w:val="24"/>
          <w:szCs w:val="24"/>
        </w:rPr>
        <w:t>»;</w:t>
      </w:r>
    </w:p>
    <w:p>
      <w:pPr>
        <w:pStyle w:val="Normal"/>
        <w:numPr>
          <w:ilvl w:val="0"/>
          <w:numId w:val="0"/>
        </w:numPr>
        <w:spacing w:before="120" w:after="120"/>
        <w:jc w:val="center"/>
        <w:outlineLvl w:val="0"/>
        <w:rPr>
          <w:rFonts w:cs="Calibri" w:cstheme="minorHAnsi"/>
          <w:b/>
          <w:b/>
          <w:sz w:val="24"/>
          <w:szCs w:val="24"/>
        </w:rPr>
      </w:pPr>
      <w:r>
        <w:rPr>
          <w:rFonts w:cs="Calibri" w:cstheme="minorHAnsi"/>
          <w:b/>
          <w:sz w:val="24"/>
          <w:szCs w:val="24"/>
        </w:rPr>
        <w:t>DICHIARA</w:t>
      </w:r>
    </w:p>
    <w:p>
      <w:pPr>
        <w:pStyle w:val="Normal"/>
        <w:spacing w:before="120" w:after="120"/>
        <w:jc w:val="both"/>
        <w:rPr>
          <w:rFonts w:cs="Calibri" w:cstheme="minorHAnsi"/>
          <w:b/>
          <w:b/>
          <w:sz w:val="24"/>
          <w:szCs w:val="24"/>
        </w:rPr>
      </w:pPr>
      <w:r>
        <w:rPr>
          <w:rFonts w:cs="Calibri" w:cstheme="minorHAnsi"/>
          <w:b/>
          <w:sz w:val="24"/>
          <w:szCs w:val="24"/>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ListParagraph"/>
        <w:widowControl/>
        <w:numPr>
          <w:ilvl w:val="0"/>
          <w:numId w:val="1"/>
        </w:numPr>
        <w:spacing w:before="120" w:after="120"/>
        <w:contextualSpacing/>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trovarsi in situazione di incompatibilità, ai sensi di quanto previsto dal d.lgs. n. 39/2013 e dall’art. 53, del d.lgs. n. 165/2001;</w:t>
      </w:r>
    </w:p>
    <w:p>
      <w:pPr>
        <w:pStyle w:val="ListParagraph"/>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ovvero, nel caso in cui sussistano situazioni di incompatibilità, che le stesse sono le seguenti:___________________________________________________________________________________________________________________________________________________;</w:t>
      </w:r>
    </w:p>
    <w:p>
      <w:pPr>
        <w:pStyle w:val="ListParagraph"/>
        <w:widowControl/>
        <w:numPr>
          <w:ilvl w:val="0"/>
          <w:numId w:val="1"/>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Pr>
          <w:rFonts w:cs="Calibri" w:ascii="Calibri" w:hAnsi="Calibri" w:asciiTheme="minorHAnsi" w:cstheme="minorHAnsi" w:hAnsiTheme="minorHAnsi"/>
          <w:i/>
          <w:iCs/>
          <w:sz w:val="24"/>
          <w:szCs w:val="24"/>
        </w:rPr>
        <w:t>bis</w:t>
      </w:r>
      <w:r>
        <w:rPr>
          <w:rFonts w:cs="Calibri" w:ascii="Calibri" w:hAnsi="Calibri" w:asciiTheme="minorHAnsi" w:cstheme="minorHAnsi" w:hAnsiTheme="minorHAnsi"/>
          <w:sz w:val="24"/>
          <w:szCs w:val="24"/>
        </w:rPr>
        <w:t xml:space="preserve"> della legge n. 241/1990. In particolare, che l’assunzione dell’incarico di </w:t>
      </w:r>
      <w:r>
        <w:rPr>
          <w:rFonts w:eastAsia="Calibri" w:cs="Calibri" w:ascii="Calibri" w:hAnsi="Calibri" w:asciiTheme="minorHAnsi" w:cstheme="minorHAnsi" w:hAnsiTheme="minorHAnsi"/>
          <w:i/>
          <w:iCs/>
          <w:sz w:val="24"/>
          <w:szCs w:val="24"/>
          <w:u w:val="single"/>
        </w:rPr>
        <w:t>Esperto Formatore dei percorsi di “Competenze di base, di motivazione e accompagnamento”</w:t>
      </w:r>
      <w:r>
        <w:rPr>
          <w:rFonts w:cs="Calibri" w:ascii="Calibri" w:hAnsi="Calibri" w:asciiTheme="minorHAnsi" w:cstheme="minorHAnsi" w:hAnsiTheme="minorHAnsi"/>
          <w:i/>
          <w:iCs/>
          <w:sz w:val="24"/>
          <w:szCs w:val="24"/>
          <w:u w:val="single"/>
        </w:rPr>
        <w:t>:</w:t>
      </w:r>
    </w:p>
    <w:p>
      <w:pPr>
        <w:pStyle w:val="ListParagraph"/>
        <w:widowControl/>
        <w:numPr>
          <w:ilvl w:val="0"/>
          <w:numId w:val="2"/>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coinvolge interessi propri;</w:t>
      </w:r>
    </w:p>
    <w:p>
      <w:pPr>
        <w:pStyle w:val="ListParagraph"/>
        <w:widowControl/>
        <w:numPr>
          <w:ilvl w:val="0"/>
          <w:numId w:val="2"/>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coinvolge interessi di parenti, affini entro il secondo grado, del coniuge o di conviventi, oppure di persone con le quali abbia rapporti di frequentazione abituale;</w:t>
      </w:r>
    </w:p>
    <w:p>
      <w:pPr>
        <w:pStyle w:val="ListParagraph"/>
        <w:widowControl/>
        <w:numPr>
          <w:ilvl w:val="0"/>
          <w:numId w:val="2"/>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coinvolge interessi di soggetti od organizzazioni con cui egli o il coniuge abbia causa pendente o grave inimicizia o rapporti di credito o debito significativi;</w:t>
      </w:r>
    </w:p>
    <w:p>
      <w:pPr>
        <w:pStyle w:val="ListParagraph"/>
        <w:widowControl/>
        <w:numPr>
          <w:ilvl w:val="0"/>
          <w:numId w:val="2"/>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pPr>
        <w:pStyle w:val="ListParagraph"/>
        <w:widowControl/>
        <w:numPr>
          <w:ilvl w:val="0"/>
          <w:numId w:val="1"/>
        </w:numPr>
        <w:spacing w:lineRule="auto" w:line="276" w:before="0" w:after="12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che non sussistono diverse ragioni di opportunità che si frappongano al conferimento dell’incarico in questione;</w:t>
      </w:r>
    </w:p>
    <w:p>
      <w:pPr>
        <w:pStyle w:val="ListParagraph"/>
        <w:widowControl/>
        <w:numPr>
          <w:ilvl w:val="0"/>
          <w:numId w:val="1"/>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aver preso piena cognizione del D.M. 26 aprile 2022, n. 105, recante il Codice di Comportamento dei dipendenti del Ministero dell’istruzione e del merito;</w:t>
      </w:r>
    </w:p>
    <w:p>
      <w:pPr>
        <w:pStyle w:val="ListParagraph"/>
        <w:widowControl/>
        <w:numPr>
          <w:ilvl w:val="0"/>
          <w:numId w:val="1"/>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impegnarsi a comunicare tempestivamente all’Istituzione scolastica eventuali variazioni che dovessero intervenire nel corso dello svolgimento dell’incarico;</w:t>
      </w:r>
    </w:p>
    <w:p>
      <w:pPr>
        <w:pStyle w:val="ListParagraph"/>
        <w:widowControl/>
        <w:numPr>
          <w:ilvl w:val="0"/>
          <w:numId w:val="1"/>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impegnarsi altresì a comunicare all’Istituzione scolastica qualsiasi altra circostanza sopravvenuta di carattere ostativo rispetto all’espletamento dell’incarico;</w:t>
      </w:r>
    </w:p>
    <w:p>
      <w:pPr>
        <w:pStyle w:val="ListParagraph"/>
        <w:widowControl/>
        <w:numPr>
          <w:ilvl w:val="0"/>
          <w:numId w:val="1"/>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bookmarkStart w:id="2" w:name="_Hlk86072743"/>
      <w:bookmarkEnd w:id="2"/>
    </w:p>
    <w:p>
      <w:pPr>
        <w:pStyle w:val="Normal"/>
        <w:widowControl w:val="false"/>
        <w:spacing w:lineRule="auto" w:line="240" w:before="0" w:after="0"/>
        <w:ind w:left="5954" w:hanging="0"/>
        <w:rPr>
          <w:rFonts w:cs="Calibri" w:cstheme="minorHAnsi"/>
          <w:b/>
          <w:b/>
          <w:i/>
          <w:i/>
          <w:iCs/>
          <w:color w:val="FF0000"/>
          <w:sz w:val="24"/>
          <w:szCs w:val="24"/>
        </w:rPr>
      </w:pPr>
      <w:r>
        <w:rPr>
          <w:rFonts w:cs="Calibri" w:cstheme="minorHAnsi"/>
          <w:sz w:val="24"/>
          <w:szCs w:val="24"/>
        </w:rPr>
        <w:t xml:space="preserve">                      </w:t>
      </w:r>
      <w:r>
        <w:rPr>
          <w:rFonts w:cs="Calibri" w:cstheme="minorHAnsi"/>
          <w:sz w:val="24"/>
          <w:szCs w:val="24"/>
        </w:rPr>
        <w:t xml:space="preserve">Il Dichiarante </w:t>
        <w:br/>
      </w:r>
    </w:p>
    <w:p>
      <w:pPr>
        <w:pStyle w:val="Normal"/>
        <w:widowControl w:val="false"/>
        <w:spacing w:lineRule="auto" w:line="240" w:before="0" w:after="0"/>
        <w:ind w:left="5954" w:hanging="0"/>
        <w:jc w:val="center"/>
        <w:rPr>
          <w:rFonts w:cs="Calibri" w:cstheme="minorHAnsi"/>
          <w:bCs/>
          <w:sz w:val="24"/>
          <w:szCs w:val="24"/>
        </w:rPr>
      </w:pPr>
      <w:r>
        <w:rPr>
          <w:rFonts w:cs="Calibri" w:cstheme="minorHAnsi"/>
          <w:bCs/>
          <w:sz w:val="24"/>
          <w:szCs w:val="24"/>
        </w:rPr>
        <w:t>_____________________________</w:t>
      </w:r>
    </w:p>
    <w:p>
      <w:pPr>
        <w:pStyle w:val="Normal"/>
        <w:widowControl/>
        <w:bidi w:val="0"/>
        <w:spacing w:lineRule="auto" w:line="276" w:before="0" w:after="200"/>
        <w:jc w:val="left"/>
        <w:rPr/>
      </w:pPr>
      <w:r>
        <w:rPr/>
      </w:r>
    </w:p>
    <w:sectPr>
      <w:headerReference w:type="default" r:id="rId2"/>
      <w:footerReference w:type="default" r:id="rId3"/>
      <w:type w:val="nextPage"/>
      <w:pgSz w:w="11906" w:h="16838"/>
      <w:pgMar w:left="851" w:right="851" w:header="567" w:top="851" w:footer="567"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Arial M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tabs>
        <w:tab w:val="clear" w:pos="4819"/>
        <w:tab w:val="clear" w:pos="9638"/>
      </w:tabs>
      <w:rPr/>
    </w:pPr>
    <w:r>
      <w:rPr/>
      <w:drawing>
        <wp:inline distT="0" distB="0" distL="0" distR="0">
          <wp:extent cx="6560185" cy="842645"/>
          <wp:effectExtent l="0" t="0" r="0" b="0"/>
          <wp:docPr id="1" name="Immagin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6" descr=""/>
                  <pic:cNvPicPr>
                    <a:picLocks noChangeAspect="1" noChangeArrowheads="1"/>
                  </pic:cNvPicPr>
                </pic:nvPicPr>
                <pic:blipFill>
                  <a:blip r:embed="rId1"/>
                  <a:stretch>
                    <a:fillRect/>
                  </a:stretch>
                </pic:blipFill>
                <pic:spPr bwMode="auto">
                  <a:xfrm>
                    <a:off x="0" y="0"/>
                    <a:ext cx="6560185" cy="84264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compatSetting w:name="compatibilityMode" w:uri="http://schemas.microsoft.com/office/word" w:val="12"/>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it-IT"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26e5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unhideWhenUsed/>
    <w:qFormat/>
    <w:rPr/>
  </w:style>
  <w:style w:type="character" w:styleId="IntestazioneCarattere" w:customStyle="1">
    <w:name w:val="Intestazione Carattere"/>
    <w:basedOn w:val="DefaultParagraphFont"/>
    <w:link w:val="Intestazione"/>
    <w:uiPriority w:val="99"/>
    <w:qFormat/>
    <w:rsid w:val="0023167d"/>
    <w:rPr>
      <w:sz w:val="22"/>
      <w:szCs w:val="22"/>
    </w:rPr>
  </w:style>
  <w:style w:type="character" w:styleId="PidipaginaCarattere" w:customStyle="1">
    <w:name w:val="Piè di pagina Carattere"/>
    <w:basedOn w:val="DefaultParagraphFont"/>
    <w:link w:val="Pidipagina"/>
    <w:uiPriority w:val="99"/>
    <w:qFormat/>
    <w:rsid w:val="00a83126"/>
    <w:rPr>
      <w:sz w:val="22"/>
      <w:szCs w:val="22"/>
    </w:rPr>
  </w:style>
  <w:style w:type="character" w:styleId="TestofumettoCarattere" w:customStyle="1">
    <w:name w:val="Testo fumetto Carattere"/>
    <w:basedOn w:val="DefaultParagraphFont"/>
    <w:link w:val="Testofumetto"/>
    <w:uiPriority w:val="99"/>
    <w:semiHidden/>
    <w:qFormat/>
    <w:rsid w:val="00263a5c"/>
    <w:rPr>
      <w:rFonts w:ascii="Tahoma" w:hAnsi="Tahoma" w:cs="Tahoma"/>
      <w:sz w:val="16"/>
      <w:szCs w:val="16"/>
    </w:rPr>
  </w:style>
  <w:style w:type="character" w:styleId="CorpotestoCarattere" w:customStyle="1">
    <w:name w:val="Corpo testo Carattere"/>
    <w:basedOn w:val="DefaultParagraphFont"/>
    <w:link w:val="Corpotesto"/>
    <w:uiPriority w:val="1"/>
    <w:qFormat/>
    <w:rsid w:val="008a77eb"/>
    <w:rPr>
      <w:rFonts w:ascii="Times New Roman" w:hAnsi="Times New Roman" w:eastAsia="Times New Roman" w:cs="Times New Roman"/>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link w:val="CorpotestoCarattere"/>
    <w:uiPriority w:val="1"/>
    <w:qFormat/>
    <w:rsid w:val="008a77eb"/>
    <w:pPr>
      <w:widowControl w:val="false"/>
      <w:spacing w:lineRule="auto" w:line="240" w:before="0" w:after="0"/>
    </w:pPr>
    <w:rPr>
      <w:rFonts w:ascii="Times New Roman" w:hAnsi="Times New Roman" w:eastAsia="Times New Roman" w:cs="Times New Roman"/>
      <w:sz w:val="24"/>
      <w:szCs w:val="24"/>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23167d"/>
    <w:pPr>
      <w:tabs>
        <w:tab w:val="clear" w:pos="708"/>
        <w:tab w:val="center" w:pos="4819" w:leader="none"/>
        <w:tab w:val="right" w:pos="9638" w:leader="none"/>
      </w:tabs>
      <w:spacing w:lineRule="auto" w:line="240" w:before="0" w:after="0"/>
    </w:pPr>
    <w:rPr/>
  </w:style>
  <w:style w:type="paragraph" w:styleId="ListParagraph">
    <w:name w:val="List Paragraph"/>
    <w:basedOn w:val="Normal"/>
    <w:uiPriority w:val="34"/>
    <w:qFormat/>
    <w:rsid w:val="0023167d"/>
    <w:pPr>
      <w:widowControl w:val="false"/>
      <w:spacing w:lineRule="auto" w:line="240" w:before="0" w:after="0"/>
      <w:ind w:left="833" w:hanging="361"/>
    </w:pPr>
    <w:rPr>
      <w:rFonts w:ascii="Arial MT" w:hAnsi="Arial MT" w:eastAsia="Arial MT" w:cs="Arial MT"/>
    </w:rPr>
  </w:style>
  <w:style w:type="paragraph" w:styleId="NormalWeb">
    <w:name w:val="Normal (Web)"/>
    <w:basedOn w:val="Normal"/>
    <w:uiPriority w:val="99"/>
    <w:unhideWhenUsed/>
    <w:qFormat/>
    <w:rsid w:val="0023167d"/>
    <w:pPr>
      <w:spacing w:lineRule="auto" w:line="240" w:beforeAutospacing="1" w:afterAutospacing="1"/>
    </w:pPr>
    <w:rPr>
      <w:rFonts w:ascii="Times New Roman" w:hAnsi="Times New Roman" w:eastAsia="Times New Roman" w:cs="Times New Roman"/>
      <w:sz w:val="24"/>
      <w:szCs w:val="24"/>
      <w:lang w:eastAsia="it-IT"/>
    </w:rPr>
  </w:style>
  <w:style w:type="paragraph" w:styleId="Pidipagina">
    <w:name w:val="Footer"/>
    <w:basedOn w:val="Normal"/>
    <w:link w:val="PidipaginaCarattere"/>
    <w:uiPriority w:val="99"/>
    <w:unhideWhenUsed/>
    <w:rsid w:val="00a83126"/>
    <w:pPr>
      <w:tabs>
        <w:tab w:val="clear" w:pos="708"/>
        <w:tab w:val="center" w:pos="4819" w:leader="none"/>
        <w:tab w:val="right" w:pos="9638" w:leader="none"/>
      </w:tabs>
      <w:spacing w:lineRule="auto" w:line="240" w:before="0" w:after="0"/>
    </w:pPr>
    <w:rPr/>
  </w:style>
  <w:style w:type="paragraph" w:styleId="BalloonText">
    <w:name w:val="Balloon Text"/>
    <w:basedOn w:val="Normal"/>
    <w:link w:val="TestofumettoCarattere"/>
    <w:uiPriority w:val="99"/>
    <w:semiHidden/>
    <w:unhideWhenUsed/>
    <w:qFormat/>
    <w:rsid w:val="00263a5c"/>
    <w:pPr>
      <w:spacing w:lineRule="auto" w:line="240" w:before="0" w:after="0"/>
    </w:pPr>
    <w:rPr>
      <w:rFonts w:ascii="Tahoma" w:hAnsi="Tahoma" w:cs="Tahoma"/>
      <w:sz w:val="16"/>
      <w:szCs w:val="16"/>
    </w:rPr>
  </w:style>
  <w:style w:type="paragraph" w:styleId="TableParagraph" w:customStyle="1">
    <w:name w:val="Table Paragraph"/>
    <w:basedOn w:val="Normal"/>
    <w:uiPriority w:val="1"/>
    <w:qFormat/>
    <w:rsid w:val="00196552"/>
    <w:pPr>
      <w:widowControl w:val="false"/>
      <w:spacing w:lineRule="auto" w:line="240" w:before="0" w:after="0"/>
      <w:ind w:left="107" w:hanging="0"/>
    </w:pPr>
    <w:rPr>
      <w:rFonts w:ascii="Times New Roman" w:hAnsi="Times New Roman" w:eastAsia="Times New Roman" w:cs="Times New Roman"/>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uiPriority w:val="39"/>
    <w:rsid w:val="0023167d"/>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sid w:val="00394ead"/>
    <w:rPr>
      <w:lang w:val="en-US"/>
      <w:sz w:val="22"/>
      <w:szCs w:val="22"/>
    </w:rPr>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34104-2703-41E3-9C14-7A5C478DE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Application>LibreOffice/6.3.2.2$Windows_X86_64 LibreOffice_project/98b30e735bda24bc04ab42594c85f7fd8be07b9c</Application>
  <Pages>2</Pages>
  <Words>764</Words>
  <Characters>4796</Characters>
  <CharactersWithSpaces>5555</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2023-04-08T20:27:00Z</dcterms:created>
  <dc:creator>Silvia Cecchetto</dc:creator>
  <dc:description/>
  <dc:language>it-IT</dc:language>
  <cp:lastModifiedBy/>
  <cp:lastPrinted>2023-09-13T09:30:00Z</cp:lastPrinted>
  <dcterms:modified xsi:type="dcterms:W3CDTF">2025-04-14T16:21:07Z</dcterms:modified>
  <cp:revision>83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