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21546" w:type="dxa"/>
        <w:tblInd w:w="-5" w:type="dxa"/>
        <w:tblLook w:val="04A0" w:firstRow="1" w:lastRow="0" w:firstColumn="1" w:lastColumn="0" w:noHBand="0" w:noVBand="1"/>
      </w:tblPr>
      <w:tblGrid>
        <w:gridCol w:w="2835"/>
        <w:gridCol w:w="14317"/>
        <w:gridCol w:w="4394"/>
      </w:tblGrid>
      <w:tr w:rsidR="007A45C9" w14:paraId="3C0FFF3A" w14:textId="77777777" w:rsidTr="007A45C9">
        <w:tc>
          <w:tcPr>
            <w:tcW w:w="2835" w:type="dxa"/>
            <w:vAlign w:val="center"/>
          </w:tcPr>
          <w:p w14:paraId="7CFCE7D0" w14:textId="5C4CE720" w:rsidR="007A45C9" w:rsidRPr="007D2D06" w:rsidRDefault="007A45C9" w:rsidP="007D2D0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bCs/>
                <w:sz w:val="32"/>
                <w:szCs w:val="22"/>
              </w:rPr>
            </w:pPr>
            <w:r w:rsidRPr="007D2D06">
              <w:rPr>
                <w:rFonts w:ascii="Calibri" w:hAnsi="Calibri"/>
                <w:b/>
                <w:bCs/>
                <w:sz w:val="32"/>
                <w:szCs w:val="22"/>
              </w:rPr>
              <w:t>ALLEGATO I - DNSH</w:t>
            </w:r>
          </w:p>
        </w:tc>
        <w:tc>
          <w:tcPr>
            <w:tcW w:w="14317" w:type="dxa"/>
            <w:vAlign w:val="center"/>
          </w:tcPr>
          <w:p w14:paraId="37B726A5" w14:textId="31AF513E" w:rsidR="007A45C9" w:rsidRDefault="007A45C9" w:rsidP="00514499">
            <w:pPr>
              <w:autoSpaceDE w:val="0"/>
              <w:autoSpaceDN w:val="0"/>
              <w:adjustRightInd w:val="0"/>
              <w:spacing w:before="60" w:after="60"/>
              <w:ind w:left="37" w:hanging="37"/>
              <w:jc w:val="center"/>
              <w:rPr>
                <w:rFonts w:ascii="Calibri" w:hAnsi="Calibri"/>
                <w:b/>
                <w:bCs/>
                <w:sz w:val="24"/>
                <w:szCs w:val="22"/>
              </w:rPr>
            </w:pPr>
            <w:bookmarkStart w:id="0" w:name="_GoBack"/>
            <w:bookmarkEnd w:id="0"/>
          </w:p>
        </w:tc>
        <w:tc>
          <w:tcPr>
            <w:tcW w:w="4394" w:type="dxa"/>
            <w:vAlign w:val="center"/>
          </w:tcPr>
          <w:p w14:paraId="0D561FD6" w14:textId="6880D66F" w:rsidR="007A45C9" w:rsidRDefault="007A45C9" w:rsidP="007A45C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/>
                <w:b/>
                <w:bCs/>
                <w:sz w:val="24"/>
                <w:szCs w:val="22"/>
              </w:rPr>
            </w:pPr>
          </w:p>
        </w:tc>
      </w:tr>
    </w:tbl>
    <w:p w14:paraId="277717C7" w14:textId="77B8BD13" w:rsidR="00CB086B" w:rsidRDefault="00CB086B" w:rsidP="00CB086B">
      <w:pPr>
        <w:autoSpaceDE w:val="0"/>
        <w:autoSpaceDN w:val="0"/>
        <w:adjustRightInd w:val="0"/>
        <w:rPr>
          <w:rFonts w:ascii="Calibri" w:hAnsi="Calibri"/>
          <w:b/>
          <w:sz w:val="24"/>
          <w:szCs w:val="24"/>
        </w:rPr>
      </w:pPr>
    </w:p>
    <w:p w14:paraId="053A87E1" w14:textId="317B6D86" w:rsidR="00CA1FC1" w:rsidRDefault="00CA1FC1" w:rsidP="00CB086B">
      <w:pPr>
        <w:autoSpaceDE w:val="0"/>
        <w:autoSpaceDN w:val="0"/>
        <w:adjustRightInd w:val="0"/>
        <w:rPr>
          <w:rFonts w:ascii="Calibri" w:hAnsi="Calibri"/>
          <w:b/>
          <w:sz w:val="24"/>
          <w:szCs w:val="24"/>
        </w:rPr>
      </w:pPr>
    </w:p>
    <w:tbl>
      <w:tblPr>
        <w:tblW w:w="215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1"/>
        <w:gridCol w:w="333"/>
        <w:gridCol w:w="11150"/>
        <w:gridCol w:w="1700"/>
        <w:gridCol w:w="284"/>
        <w:gridCol w:w="1362"/>
        <w:gridCol w:w="5016"/>
      </w:tblGrid>
      <w:tr w:rsidR="00CA1FC1" w:rsidRPr="00CA1FC1" w14:paraId="04509A42" w14:textId="77777777" w:rsidTr="002F69A7">
        <w:trPr>
          <w:trHeight w:val="369"/>
        </w:trPr>
        <w:tc>
          <w:tcPr>
            <w:tcW w:w="215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E4D6"/>
            <w:vAlign w:val="bottom"/>
            <w:hideMark/>
          </w:tcPr>
          <w:p w14:paraId="68BBB661" w14:textId="426BEEAA" w:rsidR="00CA1FC1" w:rsidRPr="00CA1FC1" w:rsidRDefault="00FF1216" w:rsidP="00CA1FC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iCs/>
                <w:color w:val="000000"/>
                <w:sz w:val="32"/>
                <w:szCs w:val="28"/>
              </w:rPr>
            </w:pPr>
            <w:r w:rsidRPr="00CA1FC1">
              <w:rPr>
                <w:rFonts w:ascii="Calibri" w:hAnsi="Calibri" w:cs="Calibri"/>
                <w:b/>
                <w:bCs/>
                <w:iCs/>
                <w:color w:val="000000"/>
                <w:sz w:val="32"/>
                <w:szCs w:val="28"/>
              </w:rPr>
              <w:t xml:space="preserve">SCHEDA  6 - SERVIZI INFORMATICI DI HOSTING E </w:t>
            </w:r>
            <w:proofErr w:type="gramStart"/>
            <w:r w:rsidRPr="00CA1FC1">
              <w:rPr>
                <w:rFonts w:ascii="Calibri" w:hAnsi="Calibri" w:cs="Calibri"/>
                <w:b/>
                <w:bCs/>
                <w:iCs/>
                <w:color w:val="000000"/>
                <w:sz w:val="32"/>
                <w:szCs w:val="28"/>
              </w:rPr>
              <w:t xml:space="preserve">CLOUD  </w:t>
            </w:r>
            <w:r w:rsidRPr="00FF1216">
              <w:rPr>
                <w:rFonts w:ascii="Calibri" w:hAnsi="Calibri" w:cs="Calibri"/>
                <w:b/>
                <w:bCs/>
                <w:iCs/>
                <w:color w:val="000000"/>
                <w:sz w:val="32"/>
                <w:szCs w:val="28"/>
              </w:rPr>
              <w:t>-</w:t>
            </w:r>
            <w:proofErr w:type="gramEnd"/>
            <w:r w:rsidRPr="00FF1216">
              <w:rPr>
                <w:rFonts w:ascii="Calibri" w:hAnsi="Calibri" w:cs="Calibri"/>
                <w:b/>
                <w:bCs/>
                <w:iCs/>
                <w:color w:val="000000"/>
                <w:sz w:val="32"/>
                <w:szCs w:val="28"/>
              </w:rPr>
              <w:t xml:space="preserve"> REGIME 1</w:t>
            </w:r>
          </w:p>
        </w:tc>
      </w:tr>
      <w:tr w:rsidR="00CA1FC1" w:rsidRPr="00CA1FC1" w14:paraId="1FCCAF47" w14:textId="77777777" w:rsidTr="002F69A7">
        <w:trPr>
          <w:trHeight w:val="300"/>
        </w:trPr>
        <w:tc>
          <w:tcPr>
            <w:tcW w:w="215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C3226" w14:textId="77777777" w:rsidR="00CA1FC1" w:rsidRPr="00CA1FC1" w:rsidRDefault="00CA1FC1" w:rsidP="00CA1FC1">
            <w:pPr>
              <w:spacing w:before="60" w:after="60"/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CA1FC1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Verifiche e controlli da condurre per garantire il principio DNSH</w:t>
            </w:r>
          </w:p>
        </w:tc>
      </w:tr>
      <w:tr w:rsidR="00CA1FC1" w:rsidRPr="00CA1FC1" w14:paraId="173C083C" w14:textId="77777777" w:rsidTr="002F69A7">
        <w:trPr>
          <w:trHeight w:val="576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6CF79C" w14:textId="77777777" w:rsidR="00CA1FC1" w:rsidRPr="00CA1FC1" w:rsidRDefault="00CA1FC1" w:rsidP="00CA1FC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2"/>
              </w:rPr>
            </w:pPr>
            <w:r w:rsidRPr="00CA1FC1">
              <w:rPr>
                <w:rFonts w:ascii="Calibri" w:hAnsi="Calibri" w:cs="Calibri"/>
                <w:b/>
                <w:bCs/>
                <w:color w:val="000000"/>
                <w:sz w:val="24"/>
                <w:szCs w:val="22"/>
              </w:rPr>
              <w:t>Tempo di svolgimento delle verifiche</w:t>
            </w:r>
          </w:p>
        </w:tc>
        <w:tc>
          <w:tcPr>
            <w:tcW w:w="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63D3B9" w14:textId="77777777" w:rsidR="00CA1FC1" w:rsidRPr="00CA1FC1" w:rsidRDefault="00CA1FC1" w:rsidP="00CA1FC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2"/>
              </w:rPr>
            </w:pPr>
            <w:r w:rsidRPr="00CA1FC1">
              <w:rPr>
                <w:rFonts w:ascii="Calibri" w:hAnsi="Calibri" w:cs="Calibri"/>
                <w:b/>
                <w:bCs/>
                <w:color w:val="000000"/>
                <w:sz w:val="24"/>
                <w:szCs w:val="22"/>
              </w:rPr>
              <w:t>n.</w:t>
            </w:r>
          </w:p>
        </w:tc>
        <w:tc>
          <w:tcPr>
            <w:tcW w:w="13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BE0E97" w14:textId="77777777" w:rsidR="00CA1FC1" w:rsidRPr="00CA1FC1" w:rsidRDefault="00CA1FC1" w:rsidP="00CA1FC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2"/>
              </w:rPr>
            </w:pPr>
            <w:r w:rsidRPr="00CA1FC1">
              <w:rPr>
                <w:rFonts w:ascii="Calibri" w:hAnsi="Calibri" w:cs="Calibri"/>
                <w:b/>
                <w:bCs/>
                <w:color w:val="000000"/>
                <w:sz w:val="24"/>
                <w:szCs w:val="22"/>
              </w:rPr>
              <w:t>Elemento di controllo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427B0A" w14:textId="77777777" w:rsidR="00CA1FC1" w:rsidRPr="00CA1FC1" w:rsidRDefault="00CA1FC1" w:rsidP="00CA1FC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2"/>
              </w:rPr>
            </w:pPr>
            <w:r w:rsidRPr="00CA1FC1">
              <w:rPr>
                <w:rFonts w:ascii="Calibri" w:hAnsi="Calibri" w:cs="Calibri"/>
                <w:b/>
                <w:bCs/>
                <w:color w:val="000000"/>
                <w:sz w:val="24"/>
                <w:szCs w:val="22"/>
              </w:rPr>
              <w:t>Esito</w:t>
            </w:r>
            <w:r w:rsidRPr="00CA1FC1">
              <w:rPr>
                <w:rFonts w:ascii="Calibri" w:hAnsi="Calibri" w:cs="Calibri"/>
                <w:b/>
                <w:bCs/>
                <w:color w:val="000000"/>
                <w:sz w:val="24"/>
                <w:szCs w:val="22"/>
              </w:rPr>
              <w:br/>
              <w:t xml:space="preserve"> (Sì/No/Non applicabile)</w:t>
            </w:r>
          </w:p>
        </w:tc>
        <w:tc>
          <w:tcPr>
            <w:tcW w:w="5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7713B5" w14:textId="3F1205A3" w:rsidR="00CA1FC1" w:rsidRPr="00CA1FC1" w:rsidRDefault="00CA1FC1" w:rsidP="00CA1FC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2"/>
              </w:rPr>
            </w:pPr>
            <w:r w:rsidRPr="00CA1FC1">
              <w:rPr>
                <w:rFonts w:ascii="Calibri" w:hAnsi="Calibri" w:cs="Calibri"/>
                <w:b/>
                <w:bCs/>
                <w:color w:val="000000"/>
                <w:sz w:val="24"/>
                <w:szCs w:val="22"/>
              </w:rPr>
              <w:t>Commento (obb</w:t>
            </w:r>
            <w:r>
              <w:rPr>
                <w:rFonts w:ascii="Calibri" w:hAnsi="Calibri" w:cs="Calibri"/>
                <w:b/>
                <w:bCs/>
                <w:color w:val="000000"/>
                <w:sz w:val="24"/>
                <w:szCs w:val="22"/>
              </w:rPr>
              <w:t>l</w:t>
            </w:r>
            <w:r w:rsidRPr="00CA1FC1">
              <w:rPr>
                <w:rFonts w:ascii="Calibri" w:hAnsi="Calibri" w:cs="Calibri"/>
                <w:b/>
                <w:bCs/>
                <w:color w:val="000000"/>
                <w:sz w:val="24"/>
                <w:szCs w:val="22"/>
              </w:rPr>
              <w:t>igatorio in caso di N/A)</w:t>
            </w:r>
          </w:p>
        </w:tc>
      </w:tr>
      <w:tr w:rsidR="00FF1216" w:rsidRPr="00CA1FC1" w14:paraId="42992934" w14:textId="77777777" w:rsidTr="002F69A7">
        <w:trPr>
          <w:trHeight w:val="920"/>
        </w:trPr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5149479" w14:textId="77777777" w:rsidR="00CA1FC1" w:rsidRPr="00CA1FC1" w:rsidRDefault="00CA1FC1" w:rsidP="00CA1FC1">
            <w:pPr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32"/>
                <w:szCs w:val="22"/>
              </w:rPr>
            </w:pPr>
            <w:r w:rsidRPr="00CA1FC1">
              <w:rPr>
                <w:rFonts w:ascii="Calibri" w:hAnsi="Calibri" w:cs="Calibri"/>
                <w:b/>
                <w:color w:val="000000"/>
                <w:sz w:val="32"/>
                <w:szCs w:val="22"/>
              </w:rPr>
              <w:t>Ex-ante</w:t>
            </w:r>
          </w:p>
        </w:tc>
        <w:tc>
          <w:tcPr>
            <w:tcW w:w="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0EC61" w14:textId="77777777" w:rsidR="00CA1FC1" w:rsidRPr="00CA1FC1" w:rsidRDefault="00CA1FC1" w:rsidP="00CA1FC1">
            <w:pPr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919FC" w14:textId="77777777" w:rsidR="00CA1FC1" w:rsidRPr="00CA1FC1" w:rsidRDefault="00CA1FC1" w:rsidP="00CA1FC1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E' disponibile una comunicazione del calcolo della media ponderata del potenziale di riscaldamento globale , anche per l'inventario dei refrigeranti utilizzati nei siti o per fornire il servizio, e dimostrazione dell’aderenza al metodo descritto nell'allegato IV del regolamento (UE) n. 517/2014, e al limite di 675 (anche un sistema di gestione dell'energia (norma ISO 50001) o un sistema di gestione ambientale (sistema EMAS o norma ISO 14001) che riportino l'uso di refrigeranti e siano verificati da terzi possono essere accettati come prova)?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9CBC" w14:textId="77777777" w:rsidR="00CA1FC1" w:rsidRPr="00CA1FC1" w:rsidRDefault="00CA1FC1" w:rsidP="00CA1FC1">
            <w:pPr>
              <w:spacing w:before="40"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A1FC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79704" w14:textId="77777777" w:rsidR="00CA1FC1" w:rsidRPr="00CA1FC1" w:rsidRDefault="00CA1FC1" w:rsidP="00CA1FC1">
            <w:pPr>
              <w:spacing w:before="40" w:after="4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A1FC1" w:rsidRPr="00CA1FC1" w14:paraId="32D234D9" w14:textId="77777777" w:rsidTr="002F69A7">
        <w:trPr>
          <w:trHeight w:val="288"/>
        </w:trPr>
        <w:tc>
          <w:tcPr>
            <w:tcW w:w="1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E9070" w14:textId="77777777" w:rsidR="00CA1FC1" w:rsidRPr="00CA1FC1" w:rsidRDefault="00CA1FC1" w:rsidP="00CA1FC1">
            <w:pPr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32"/>
                <w:szCs w:val="22"/>
              </w:rPr>
            </w:pPr>
          </w:p>
        </w:tc>
        <w:tc>
          <w:tcPr>
            <w:tcW w:w="198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87E111" w14:textId="77777777" w:rsidR="00CA1FC1" w:rsidRPr="00CA1FC1" w:rsidRDefault="00CA1FC1" w:rsidP="00CA1FC1">
            <w:pPr>
              <w:spacing w:before="60" w:after="60"/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CA1FC1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I punti 2, 3 e 4 sono alternativi</w:t>
            </w:r>
          </w:p>
        </w:tc>
      </w:tr>
      <w:tr w:rsidR="00CA1FC1" w:rsidRPr="00CA1FC1" w14:paraId="75909B4D" w14:textId="77777777" w:rsidTr="002F69A7">
        <w:trPr>
          <w:trHeight w:val="1089"/>
        </w:trPr>
        <w:tc>
          <w:tcPr>
            <w:tcW w:w="1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2436C" w14:textId="77777777" w:rsidR="00CA1FC1" w:rsidRPr="00CA1FC1" w:rsidRDefault="00CA1FC1" w:rsidP="00CA1FC1">
            <w:pPr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32"/>
                <w:szCs w:val="22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150DE" w14:textId="77777777" w:rsidR="00CA1FC1" w:rsidRPr="00CA1FC1" w:rsidRDefault="00CA1FC1" w:rsidP="00CA1FC1">
            <w:pPr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804D5" w14:textId="77777777" w:rsidR="00CA1FC1" w:rsidRPr="00CA1FC1" w:rsidRDefault="00CA1FC1" w:rsidP="00CA1FC1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 data center legati ai servizi di hosting e </w:t>
            </w:r>
            <w:proofErr w:type="spellStart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cloud</w:t>
            </w:r>
            <w:proofErr w:type="spellEnd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dimostrano la partecipazione aggiornata al </w:t>
            </w:r>
            <w:proofErr w:type="spellStart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European</w:t>
            </w:r>
            <w:proofErr w:type="spellEnd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Code of </w:t>
            </w:r>
            <w:proofErr w:type="spellStart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Conduct</w:t>
            </w:r>
            <w:proofErr w:type="spellEnd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for Data Center Energy </w:t>
            </w:r>
            <w:proofErr w:type="spellStart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Efficiency</w:t>
            </w:r>
            <w:proofErr w:type="spellEnd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fornendo un modulo </w:t>
            </w:r>
            <w:proofErr w:type="gramStart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compilato  che</w:t>
            </w:r>
            <w:proofErr w:type="gramEnd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descriva lo status di attuazione delle migliori prassi previste, ricomprese nella versione più aggiornata del Best </w:t>
            </w:r>
            <w:proofErr w:type="spellStart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Practice</w:t>
            </w:r>
            <w:proofErr w:type="spellEnd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Guidelines</w:t>
            </w:r>
            <w:proofErr w:type="spellEnd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for the </w:t>
            </w:r>
            <w:proofErr w:type="spellStart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European</w:t>
            </w:r>
            <w:proofErr w:type="spellEnd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Code of </w:t>
            </w:r>
            <w:proofErr w:type="spellStart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Conduct</w:t>
            </w:r>
            <w:proofErr w:type="spellEnd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for Data Centre Energy </w:t>
            </w:r>
            <w:proofErr w:type="spellStart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Efficiency</w:t>
            </w:r>
            <w:proofErr w:type="spellEnd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»?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E0AFD" w14:textId="77777777" w:rsidR="00CA1FC1" w:rsidRPr="00CA1FC1" w:rsidRDefault="00CA1FC1" w:rsidP="00CA1FC1">
            <w:pPr>
              <w:spacing w:before="40"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A1FC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85ACF" w14:textId="77777777" w:rsidR="00CA1FC1" w:rsidRPr="00CA1FC1" w:rsidRDefault="00CA1FC1" w:rsidP="00CA1FC1">
            <w:pPr>
              <w:spacing w:before="40" w:after="4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A1FC1" w:rsidRPr="00CA1FC1" w14:paraId="53B6FEC0" w14:textId="77777777" w:rsidTr="002F69A7">
        <w:trPr>
          <w:trHeight w:val="1020"/>
        </w:trPr>
        <w:tc>
          <w:tcPr>
            <w:tcW w:w="1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2CC96" w14:textId="77777777" w:rsidR="00CA1FC1" w:rsidRPr="00CA1FC1" w:rsidRDefault="00CA1FC1" w:rsidP="00CA1FC1">
            <w:pPr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32"/>
                <w:szCs w:val="22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F7AD2" w14:textId="77777777" w:rsidR="00CA1FC1" w:rsidRPr="00CA1FC1" w:rsidRDefault="00CA1FC1" w:rsidP="00CA1FC1">
            <w:pPr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AC72" w14:textId="77777777" w:rsidR="00CA1FC1" w:rsidRPr="00CA1FC1" w:rsidRDefault="00CA1FC1" w:rsidP="00CA1FC1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 data center che ospitano i servizi di hosting e </w:t>
            </w:r>
            <w:proofErr w:type="spellStart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cloud</w:t>
            </w:r>
            <w:proofErr w:type="spellEnd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aderiscono alle pratiche raccomandate contenute nel CEN-CENELEC documento CLC TR50600-99-1 "Data centre </w:t>
            </w:r>
            <w:proofErr w:type="spellStart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facilities</w:t>
            </w:r>
            <w:proofErr w:type="spellEnd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and </w:t>
            </w:r>
            <w:proofErr w:type="spellStart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infrastructures</w:t>
            </w:r>
            <w:proofErr w:type="spellEnd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- Part 99-</w:t>
            </w:r>
            <w:proofErr w:type="gramStart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1 :</w:t>
            </w:r>
            <w:proofErr w:type="gramEnd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Recommended</w:t>
            </w:r>
            <w:proofErr w:type="spellEnd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practices</w:t>
            </w:r>
            <w:proofErr w:type="spellEnd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for </w:t>
            </w:r>
            <w:proofErr w:type="spellStart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energy</w:t>
            </w:r>
            <w:proofErr w:type="spellEnd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management?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694E" w14:textId="77777777" w:rsidR="00CA1FC1" w:rsidRPr="00CA1FC1" w:rsidRDefault="00CA1FC1" w:rsidP="00CA1FC1">
            <w:pPr>
              <w:spacing w:before="40"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A1FC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7B1A6" w14:textId="77777777" w:rsidR="00CA1FC1" w:rsidRPr="00CA1FC1" w:rsidRDefault="00CA1FC1" w:rsidP="00CA1FC1">
            <w:pPr>
              <w:spacing w:before="40" w:after="4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A1FC1" w:rsidRPr="00CA1FC1" w14:paraId="67A5B98F" w14:textId="77777777" w:rsidTr="002F69A7">
        <w:trPr>
          <w:trHeight w:val="939"/>
        </w:trPr>
        <w:tc>
          <w:tcPr>
            <w:tcW w:w="1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7F699" w14:textId="77777777" w:rsidR="00CA1FC1" w:rsidRPr="00CA1FC1" w:rsidRDefault="00CA1FC1" w:rsidP="00CA1FC1">
            <w:pPr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32"/>
                <w:szCs w:val="22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C262B" w14:textId="77777777" w:rsidR="00CA1FC1" w:rsidRPr="00CA1FC1" w:rsidRDefault="00CA1FC1" w:rsidP="00CA1FC1">
            <w:pPr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1309D" w14:textId="77777777" w:rsidR="00CA1FC1" w:rsidRPr="00CA1FC1" w:rsidRDefault="00CA1FC1" w:rsidP="00CA1FC1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Sono rispettati tutti i Criteri dell'UE applicabili in materia di appalti pubblici verdi per i centri dati, le sale server e servizi </w:t>
            </w:r>
            <w:proofErr w:type="spellStart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cloud</w:t>
            </w:r>
            <w:proofErr w:type="spellEnd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2CD94" w14:textId="77777777" w:rsidR="00CA1FC1" w:rsidRPr="00CA1FC1" w:rsidRDefault="00CA1FC1" w:rsidP="00CA1FC1">
            <w:pPr>
              <w:spacing w:before="40"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A1FC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578BC" w14:textId="77777777" w:rsidR="00CA1FC1" w:rsidRPr="00CA1FC1" w:rsidRDefault="00CA1FC1" w:rsidP="00CA1FC1">
            <w:pPr>
              <w:spacing w:before="40" w:after="4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A1FC1" w:rsidRPr="00CA1FC1" w14:paraId="5F588224" w14:textId="77777777" w:rsidTr="002F69A7">
        <w:trPr>
          <w:trHeight w:val="916"/>
        </w:trPr>
        <w:tc>
          <w:tcPr>
            <w:tcW w:w="1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C870D" w14:textId="77777777" w:rsidR="00CA1FC1" w:rsidRPr="00CA1FC1" w:rsidRDefault="00CA1FC1" w:rsidP="00CA1FC1">
            <w:pPr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32"/>
                <w:szCs w:val="22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5F156" w14:textId="77777777" w:rsidR="00CA1FC1" w:rsidRPr="00CA1FC1" w:rsidRDefault="00CA1FC1" w:rsidP="00CA1FC1">
            <w:pPr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8547E" w14:textId="77777777" w:rsidR="00CA1FC1" w:rsidRPr="00CA1FC1" w:rsidRDefault="00CA1FC1" w:rsidP="00CA1FC1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 data center che ospitano i servizi di hosting e </w:t>
            </w:r>
            <w:proofErr w:type="spellStart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cloud</w:t>
            </w:r>
            <w:proofErr w:type="spellEnd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hanno un piano di gestione dei rifiuti?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E6752" w14:textId="77777777" w:rsidR="00CA1FC1" w:rsidRPr="00CA1FC1" w:rsidRDefault="00CA1FC1" w:rsidP="00CA1FC1">
            <w:pPr>
              <w:spacing w:before="40"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A1FC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EB73D" w14:textId="77777777" w:rsidR="00CA1FC1" w:rsidRPr="00CA1FC1" w:rsidRDefault="00CA1FC1" w:rsidP="00CA1FC1">
            <w:pPr>
              <w:spacing w:before="40" w:after="4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A1FC1" w:rsidRPr="00CA1FC1" w14:paraId="1ECDD157" w14:textId="77777777" w:rsidTr="002F69A7">
        <w:trPr>
          <w:trHeight w:val="288"/>
        </w:trPr>
        <w:tc>
          <w:tcPr>
            <w:tcW w:w="1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576E4" w14:textId="77777777" w:rsidR="00CA1FC1" w:rsidRPr="00CA1FC1" w:rsidRDefault="00CA1FC1" w:rsidP="00CA1FC1">
            <w:pPr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32"/>
                <w:szCs w:val="22"/>
              </w:rPr>
            </w:pPr>
          </w:p>
        </w:tc>
        <w:tc>
          <w:tcPr>
            <w:tcW w:w="198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82F0489" w14:textId="77777777" w:rsidR="00CA1FC1" w:rsidRPr="00CA1FC1" w:rsidRDefault="00CA1FC1" w:rsidP="00CA1FC1">
            <w:pPr>
              <w:spacing w:before="60" w:after="60"/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CA1FC1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Nel caso in cui fosse verificato il punto 4, i punti 6 e 7 si ritengono automaticamente verificati</w:t>
            </w:r>
          </w:p>
        </w:tc>
      </w:tr>
      <w:tr w:rsidR="00CA1FC1" w:rsidRPr="00CA1FC1" w14:paraId="4DE8DBAD" w14:textId="77777777" w:rsidTr="002F69A7">
        <w:trPr>
          <w:trHeight w:val="981"/>
        </w:trPr>
        <w:tc>
          <w:tcPr>
            <w:tcW w:w="1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4BAB7" w14:textId="77777777" w:rsidR="00CA1FC1" w:rsidRPr="00CA1FC1" w:rsidRDefault="00CA1FC1" w:rsidP="00CA1FC1">
            <w:pPr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32"/>
                <w:szCs w:val="22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DC97" w14:textId="77777777" w:rsidR="00CA1FC1" w:rsidRPr="00CA1FC1" w:rsidRDefault="00CA1FC1" w:rsidP="00CA1FC1">
            <w:pPr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A6C16" w14:textId="77777777" w:rsidR="00CA1FC1" w:rsidRPr="00CA1FC1" w:rsidRDefault="00CA1FC1" w:rsidP="00CA1FC1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E' disponibile una dichiarazione dei produttori/fornitori di conformità alla seguente normativa: </w:t>
            </w:r>
            <w:proofErr w:type="spellStart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ecodesign</w:t>
            </w:r>
            <w:proofErr w:type="spellEnd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(Regolamento (EU) 2019/424) considerato che la conformità alle normative può essere dimostrata anche tramite il sistema di gestione ISO 30134:2016 certificato da organismi di certificazione accreditati?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18306" w14:textId="77777777" w:rsidR="00CA1FC1" w:rsidRPr="00CA1FC1" w:rsidRDefault="00CA1FC1" w:rsidP="00CA1FC1">
            <w:pPr>
              <w:spacing w:before="40"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A1FC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C60C3" w14:textId="77777777" w:rsidR="00CA1FC1" w:rsidRPr="00CA1FC1" w:rsidRDefault="00CA1FC1" w:rsidP="00CA1FC1">
            <w:pPr>
              <w:spacing w:before="40" w:after="4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A1FC1" w:rsidRPr="00CA1FC1" w14:paraId="35DC4C4D" w14:textId="77777777" w:rsidTr="002F69A7">
        <w:trPr>
          <w:trHeight w:val="1126"/>
        </w:trPr>
        <w:tc>
          <w:tcPr>
            <w:tcW w:w="1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05695" w14:textId="77777777" w:rsidR="00CA1FC1" w:rsidRPr="00CA1FC1" w:rsidRDefault="00CA1FC1" w:rsidP="00CA1FC1">
            <w:pPr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32"/>
                <w:szCs w:val="22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6910F" w14:textId="77777777" w:rsidR="00CA1FC1" w:rsidRPr="00CA1FC1" w:rsidRDefault="00CA1FC1" w:rsidP="00CA1FC1">
            <w:pPr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7BAE7" w14:textId="77777777" w:rsidR="00CA1FC1" w:rsidRPr="00CA1FC1" w:rsidRDefault="00CA1FC1" w:rsidP="00CA1FC1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La conformità delle apparecchiature dei data center è autocertificata dal produttore/fornitore tramite una dichiarazione resa ai sensi del D.P.R. n. 445/2000, adeguandosi alla seguente normativa: REACH (Regolamento (CE) n.1907/2006); </w:t>
            </w:r>
            <w:proofErr w:type="spellStart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RoHS</w:t>
            </w:r>
            <w:proofErr w:type="spellEnd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(Direttiva 2011/65/EU e </w:t>
            </w:r>
            <w:proofErr w:type="spellStart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ss.m.i</w:t>
            </w:r>
            <w:proofErr w:type="spellEnd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.); compatibilità elettromagnetica (Direttiva 2014/30/UE) (la conformità alla norma </w:t>
            </w:r>
            <w:proofErr w:type="spellStart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RoHS</w:t>
            </w:r>
            <w:proofErr w:type="spellEnd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può essere dimostrata applicando la norma EN IEC 63000:2018)?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9EA35" w14:textId="77777777" w:rsidR="00CA1FC1" w:rsidRPr="00CA1FC1" w:rsidRDefault="00CA1FC1" w:rsidP="00CA1FC1">
            <w:pPr>
              <w:spacing w:before="40"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A1FC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AFF98" w14:textId="77777777" w:rsidR="00CA1FC1" w:rsidRPr="00CA1FC1" w:rsidRDefault="00CA1FC1" w:rsidP="00CA1FC1">
            <w:pPr>
              <w:spacing w:before="40" w:after="4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A1FC1" w:rsidRPr="00CA1FC1" w14:paraId="2FCDBE33" w14:textId="77777777" w:rsidTr="002F69A7">
        <w:trPr>
          <w:trHeight w:val="381"/>
        </w:trPr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F67F6E5" w14:textId="77777777" w:rsidR="00CA1FC1" w:rsidRPr="00CA1FC1" w:rsidRDefault="00CA1FC1" w:rsidP="00CA1FC1">
            <w:pPr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32"/>
                <w:szCs w:val="22"/>
              </w:rPr>
            </w:pPr>
            <w:r w:rsidRPr="00CA1FC1">
              <w:rPr>
                <w:rFonts w:ascii="Calibri" w:hAnsi="Calibri" w:cs="Calibri"/>
                <w:b/>
                <w:color w:val="000000"/>
                <w:sz w:val="32"/>
                <w:szCs w:val="22"/>
              </w:rPr>
              <w:t>Ex-post</w:t>
            </w:r>
          </w:p>
        </w:tc>
        <w:tc>
          <w:tcPr>
            <w:tcW w:w="198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2778FA0" w14:textId="77777777" w:rsidR="00CA1FC1" w:rsidRPr="00CA1FC1" w:rsidRDefault="00CA1FC1" w:rsidP="00CA1FC1">
            <w:pPr>
              <w:spacing w:before="60" w:after="60"/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CA1FC1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I punti 8 e 9 sono alternativi</w:t>
            </w:r>
          </w:p>
        </w:tc>
      </w:tr>
      <w:tr w:rsidR="00CA1FC1" w:rsidRPr="00CA1FC1" w14:paraId="38DC50BB" w14:textId="77777777" w:rsidTr="002F69A7">
        <w:trPr>
          <w:trHeight w:val="879"/>
        </w:trPr>
        <w:tc>
          <w:tcPr>
            <w:tcW w:w="1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6728A" w14:textId="77777777" w:rsidR="00CA1FC1" w:rsidRPr="00CA1FC1" w:rsidRDefault="00CA1FC1" w:rsidP="00CA1FC1">
            <w:pPr>
              <w:spacing w:before="40" w:after="4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4BA9A" w14:textId="77777777" w:rsidR="00CA1FC1" w:rsidRPr="00CA1FC1" w:rsidRDefault="00CA1FC1" w:rsidP="00CA1FC1">
            <w:pPr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76EB5" w14:textId="77777777" w:rsidR="00CA1FC1" w:rsidRPr="00CA1FC1" w:rsidRDefault="00CA1FC1" w:rsidP="00CA1FC1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Sono rispettate tutte le indicazioni definite nei Criteri dell'UE in materia di appalti pubblici verdi per i centri dati, le sale server e i servizi </w:t>
            </w:r>
            <w:proofErr w:type="spellStart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cloud</w:t>
            </w:r>
            <w:proofErr w:type="spellEnd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della Commissione Europea applicabili e sono disponibili le relative prove di verifica?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EC82E" w14:textId="77777777" w:rsidR="00CA1FC1" w:rsidRPr="00CA1FC1" w:rsidRDefault="00CA1FC1" w:rsidP="00CA1FC1">
            <w:pPr>
              <w:spacing w:before="40"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A1FC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26FEB" w14:textId="77777777" w:rsidR="00CA1FC1" w:rsidRPr="00CA1FC1" w:rsidRDefault="00CA1FC1" w:rsidP="00CA1FC1">
            <w:pPr>
              <w:spacing w:before="40" w:after="4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A1FC1" w:rsidRPr="00CA1FC1" w14:paraId="650BD990" w14:textId="77777777" w:rsidTr="002F69A7">
        <w:trPr>
          <w:trHeight w:val="1089"/>
        </w:trPr>
        <w:tc>
          <w:tcPr>
            <w:tcW w:w="1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1DEE9" w14:textId="77777777" w:rsidR="00CA1FC1" w:rsidRPr="00CA1FC1" w:rsidRDefault="00CA1FC1" w:rsidP="00CA1FC1">
            <w:pPr>
              <w:spacing w:before="40" w:after="4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18DB4" w14:textId="77777777" w:rsidR="00CA1FC1" w:rsidRPr="00CA1FC1" w:rsidRDefault="00CA1FC1" w:rsidP="00CA1FC1">
            <w:pPr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5EC02" w14:textId="77777777" w:rsidR="00CA1FC1" w:rsidRPr="00CA1FC1" w:rsidRDefault="00CA1FC1" w:rsidP="00CA1FC1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L’adesione al </w:t>
            </w:r>
            <w:proofErr w:type="spellStart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European</w:t>
            </w:r>
            <w:proofErr w:type="spellEnd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Code of </w:t>
            </w:r>
            <w:proofErr w:type="spellStart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Conduct</w:t>
            </w:r>
            <w:proofErr w:type="spellEnd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for Data Centre Energy </w:t>
            </w:r>
            <w:proofErr w:type="spellStart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Efficiency</w:t>
            </w:r>
            <w:proofErr w:type="spellEnd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 l’attuazione delle pratiche attese in esso descritte (o nel documento CEN- CENELEC CLC TR50600-99-1 Data centre </w:t>
            </w:r>
            <w:proofErr w:type="spellStart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facilities</w:t>
            </w:r>
            <w:proofErr w:type="spellEnd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and </w:t>
            </w:r>
            <w:proofErr w:type="spellStart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infrastructures</w:t>
            </w:r>
            <w:proofErr w:type="spellEnd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Part 99-1: </w:t>
            </w:r>
            <w:proofErr w:type="spellStart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Recommended</w:t>
            </w:r>
            <w:proofErr w:type="spellEnd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practices</w:t>
            </w:r>
            <w:proofErr w:type="spellEnd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for </w:t>
            </w:r>
            <w:proofErr w:type="spellStart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energy</w:t>
            </w:r>
            <w:proofErr w:type="spellEnd"/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management) è stata verificata da una parte terza indipendente ed è stato svolto un audit almeno ogni tre anni?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BFCB8" w14:textId="77777777" w:rsidR="00CA1FC1" w:rsidRPr="00CA1FC1" w:rsidRDefault="00CA1FC1" w:rsidP="00CA1FC1">
            <w:pPr>
              <w:spacing w:before="40"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A1FC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AD937" w14:textId="77777777" w:rsidR="00CA1FC1" w:rsidRPr="00CA1FC1" w:rsidRDefault="00CA1FC1" w:rsidP="00CA1FC1">
            <w:pPr>
              <w:spacing w:before="40" w:after="4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1FC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9307D" w:rsidRPr="00193B14" w14:paraId="321BEAC4" w14:textId="77777777" w:rsidTr="002F69A7">
        <w:trPr>
          <w:trHeight w:val="1170"/>
        </w:trPr>
        <w:tc>
          <w:tcPr>
            <w:tcW w:w="13174" w:type="dxa"/>
            <w:gridSpan w:val="3"/>
            <w:tcBorders>
              <w:top w:val="single" w:sz="4" w:space="0" w:color="auto"/>
            </w:tcBorders>
          </w:tcPr>
          <w:p w14:paraId="0FC818ED" w14:textId="26D1FC9C" w:rsidR="00E9307D" w:rsidRPr="003B6D4B" w:rsidRDefault="00E9307D" w:rsidP="003B6D4B">
            <w:pPr>
              <w:autoSpaceDE w:val="0"/>
              <w:autoSpaceDN w:val="0"/>
              <w:adjustRightInd w:val="0"/>
              <w:spacing w:before="60"/>
              <w:ind w:left="705" w:hanging="705"/>
              <w:rPr>
                <w:rFonts w:ascii="Calibri" w:hAnsi="Calibri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</w:tcPr>
          <w:p w14:paraId="265DD709" w14:textId="77777777" w:rsidR="00E9307D" w:rsidRDefault="003B6D4B" w:rsidP="003B6D4B">
            <w:pPr>
              <w:spacing w:before="60" w:after="60"/>
              <w:jc w:val="center"/>
              <w:rPr>
                <w:rFonts w:eastAsia="Arial" w:cstheme="minorHAnsi"/>
                <w:sz w:val="24"/>
                <w:szCs w:val="24"/>
                <w:lang w:bidi="it-IT"/>
              </w:rPr>
            </w:pPr>
            <w:r w:rsidRPr="00D80DCE">
              <w:rPr>
                <w:rFonts w:eastAsia="Arial" w:cstheme="minorHAnsi"/>
                <w:sz w:val="24"/>
                <w:szCs w:val="24"/>
                <w:lang w:bidi="it-IT"/>
              </w:rPr>
              <w:t>Data</w:t>
            </w:r>
          </w:p>
          <w:p w14:paraId="0A70FA38" w14:textId="65DB4F91" w:rsidR="003B6D4B" w:rsidRPr="00193B14" w:rsidRDefault="003B6D4B" w:rsidP="007D2D06">
            <w:pPr>
              <w:spacing w:before="240"/>
              <w:jc w:val="center"/>
              <w:rPr>
                <w:rFonts w:ascii="Calibri" w:hAnsi="Calibri" w:cs="Calibri"/>
                <w:b/>
                <w:color w:val="000000"/>
                <w:sz w:val="28"/>
                <w:szCs w:val="18"/>
              </w:rPr>
            </w:pPr>
            <w:r>
              <w:rPr>
                <w:rFonts w:eastAsia="Arial" w:cstheme="minorHAnsi"/>
                <w:sz w:val="24"/>
                <w:szCs w:val="24"/>
                <w:lang w:bidi="it-IT"/>
              </w:rPr>
              <w:t>_____________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</w:tcBorders>
            <w:shd w:val="clear" w:color="auto" w:fill="auto"/>
            <w:noWrap/>
          </w:tcPr>
          <w:p w14:paraId="2B3BD9B6" w14:textId="21B67987" w:rsidR="00E9307D" w:rsidRPr="00193B14" w:rsidRDefault="003B6D4B" w:rsidP="003B6D4B">
            <w:pPr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Enfasicorsivo"/>
                <w:rFonts w:cstheme="minorHAnsi"/>
                <w:sz w:val="24"/>
                <w:szCs w:val="24"/>
              </w:rPr>
              <w:t>Timbro e firma</w:t>
            </w:r>
          </w:p>
        </w:tc>
      </w:tr>
    </w:tbl>
    <w:p w14:paraId="60D4A517" w14:textId="1D1C6EB2" w:rsidR="002F69A7" w:rsidRDefault="002F69A7"/>
    <w:p w14:paraId="66CF66FF" w14:textId="77777777" w:rsidR="002F69A7" w:rsidRDefault="002F69A7"/>
    <w:tbl>
      <w:tblPr>
        <w:tblW w:w="215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1"/>
        <w:gridCol w:w="426"/>
        <w:gridCol w:w="11057"/>
        <w:gridCol w:w="1700"/>
        <w:gridCol w:w="284"/>
        <w:gridCol w:w="1275"/>
        <w:gridCol w:w="5103"/>
      </w:tblGrid>
      <w:tr w:rsidR="00FF1216" w:rsidRPr="00FF1216" w14:paraId="6E8BD374" w14:textId="77777777" w:rsidTr="002F69A7">
        <w:trPr>
          <w:trHeight w:val="369"/>
        </w:trPr>
        <w:tc>
          <w:tcPr>
            <w:tcW w:w="215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E4D6"/>
            <w:vAlign w:val="bottom"/>
            <w:hideMark/>
          </w:tcPr>
          <w:p w14:paraId="309F68FF" w14:textId="028B5546" w:rsidR="00FF1216" w:rsidRPr="00FF1216" w:rsidRDefault="00FF1216" w:rsidP="00FF1216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iCs/>
                <w:color w:val="000000"/>
                <w:sz w:val="32"/>
                <w:szCs w:val="28"/>
              </w:rPr>
            </w:pPr>
            <w:r w:rsidRPr="00FF1216">
              <w:rPr>
                <w:rFonts w:ascii="Calibri" w:hAnsi="Calibri" w:cs="Calibri"/>
                <w:b/>
                <w:bCs/>
                <w:iCs/>
                <w:color w:val="000000"/>
                <w:sz w:val="32"/>
                <w:szCs w:val="28"/>
              </w:rPr>
              <w:t xml:space="preserve">SCHEDA  6 - SERVIZI INFORMATICI DI HOSTING E </w:t>
            </w:r>
            <w:proofErr w:type="gramStart"/>
            <w:r w:rsidRPr="00FF1216">
              <w:rPr>
                <w:rFonts w:ascii="Calibri" w:hAnsi="Calibri" w:cs="Calibri"/>
                <w:b/>
                <w:bCs/>
                <w:iCs/>
                <w:color w:val="000000"/>
                <w:sz w:val="32"/>
                <w:szCs w:val="28"/>
              </w:rPr>
              <w:t>CLOUD</w:t>
            </w:r>
            <w:r w:rsidRPr="00CA1FC1">
              <w:rPr>
                <w:rFonts w:ascii="Calibri" w:hAnsi="Calibri" w:cs="Calibri"/>
                <w:b/>
                <w:bCs/>
                <w:iCs/>
                <w:color w:val="000000"/>
                <w:sz w:val="32"/>
                <w:szCs w:val="28"/>
              </w:rPr>
              <w:t xml:space="preserve">  </w:t>
            </w:r>
            <w:r>
              <w:rPr>
                <w:rFonts w:ascii="Calibri" w:hAnsi="Calibri" w:cs="Calibri"/>
                <w:b/>
                <w:bCs/>
                <w:iCs/>
                <w:color w:val="000000"/>
                <w:sz w:val="32"/>
                <w:szCs w:val="28"/>
              </w:rPr>
              <w:t>-</w:t>
            </w:r>
            <w:proofErr w:type="gramEnd"/>
            <w:r>
              <w:rPr>
                <w:rFonts w:ascii="Calibri" w:hAnsi="Calibri" w:cs="Calibri"/>
                <w:b/>
                <w:bCs/>
                <w:iCs/>
                <w:color w:val="000000"/>
                <w:sz w:val="32"/>
                <w:szCs w:val="28"/>
              </w:rPr>
              <w:t xml:space="preserve"> REGIME 2</w:t>
            </w:r>
            <w:r w:rsidRPr="00FF1216">
              <w:rPr>
                <w:rFonts w:ascii="Calibri" w:hAnsi="Calibri" w:cs="Calibri"/>
                <w:b/>
                <w:bCs/>
                <w:iCs/>
                <w:color w:val="000000"/>
                <w:sz w:val="32"/>
                <w:szCs w:val="28"/>
              </w:rPr>
              <w:t xml:space="preserve">  </w:t>
            </w:r>
          </w:p>
        </w:tc>
      </w:tr>
      <w:tr w:rsidR="00FF1216" w:rsidRPr="00FF1216" w14:paraId="15509C19" w14:textId="77777777" w:rsidTr="002F69A7">
        <w:trPr>
          <w:trHeight w:val="300"/>
        </w:trPr>
        <w:tc>
          <w:tcPr>
            <w:tcW w:w="215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3B919" w14:textId="77777777" w:rsidR="00FF1216" w:rsidRPr="00FF1216" w:rsidRDefault="00FF1216" w:rsidP="00FF1216">
            <w:pPr>
              <w:spacing w:before="60" w:after="60"/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FF1216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lastRenderedPageBreak/>
              <w:t>Verifiche e controlli da condurre per garantire il principio DNSH</w:t>
            </w:r>
          </w:p>
        </w:tc>
      </w:tr>
      <w:tr w:rsidR="00FF1216" w:rsidRPr="00FF1216" w14:paraId="2D9E03DD" w14:textId="77777777" w:rsidTr="002F69A7">
        <w:trPr>
          <w:trHeight w:val="748"/>
        </w:trPr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811E69" w14:textId="77777777" w:rsidR="00FF1216" w:rsidRPr="00FF1216" w:rsidRDefault="00FF1216" w:rsidP="00FF1216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2"/>
              </w:rPr>
            </w:pPr>
            <w:r w:rsidRPr="00FF1216">
              <w:rPr>
                <w:rFonts w:ascii="Calibri" w:hAnsi="Calibri" w:cs="Calibri"/>
                <w:b/>
                <w:bCs/>
                <w:color w:val="000000"/>
                <w:sz w:val="24"/>
                <w:szCs w:val="22"/>
              </w:rPr>
              <w:t>Tempo di svolgimento delle verifiche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787CE3" w14:textId="77777777" w:rsidR="00FF1216" w:rsidRPr="00FF1216" w:rsidRDefault="00FF1216" w:rsidP="00FF121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121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n.</w:t>
            </w:r>
          </w:p>
        </w:tc>
        <w:tc>
          <w:tcPr>
            <w:tcW w:w="13041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5BC2AB" w14:textId="77777777" w:rsidR="00FF1216" w:rsidRPr="00FF1216" w:rsidRDefault="00FF1216" w:rsidP="00FF121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121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Elemento di controllo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47E86B" w14:textId="77777777" w:rsidR="00FF1216" w:rsidRPr="00FF1216" w:rsidRDefault="00FF1216" w:rsidP="00FF121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121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Esito</w:t>
            </w:r>
            <w:r w:rsidRPr="00FF121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 xml:space="preserve"> (Sì/No/Non applicabile)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5AC49F5" w14:textId="3D62EABE" w:rsidR="00FF1216" w:rsidRPr="00FF1216" w:rsidRDefault="00FF1216" w:rsidP="00FF121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121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Commento (obb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</w:t>
            </w:r>
            <w:r w:rsidRPr="00FF121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igatorio in caso di N/A)</w:t>
            </w:r>
          </w:p>
        </w:tc>
      </w:tr>
      <w:tr w:rsidR="00FF1216" w:rsidRPr="00FF1216" w14:paraId="27C68545" w14:textId="77777777" w:rsidTr="002F69A7">
        <w:trPr>
          <w:trHeight w:val="721"/>
        </w:trPr>
        <w:tc>
          <w:tcPr>
            <w:tcW w:w="16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206F02E" w14:textId="77777777" w:rsidR="00FF1216" w:rsidRPr="00FF1216" w:rsidRDefault="00FF1216" w:rsidP="00FF1216">
            <w:pPr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32"/>
                <w:szCs w:val="22"/>
              </w:rPr>
            </w:pPr>
            <w:r w:rsidRPr="00FF1216">
              <w:rPr>
                <w:rFonts w:ascii="Calibri" w:hAnsi="Calibri" w:cs="Calibri"/>
                <w:b/>
                <w:color w:val="000000"/>
                <w:sz w:val="32"/>
                <w:szCs w:val="22"/>
              </w:rPr>
              <w:t>Ex-ante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8E5B4" w14:textId="77777777" w:rsidR="00FF1216" w:rsidRPr="00FF1216" w:rsidRDefault="00FF1216" w:rsidP="00FF1216">
            <w:pPr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0.1</w:t>
            </w:r>
          </w:p>
        </w:tc>
        <w:tc>
          <w:tcPr>
            <w:tcW w:w="1304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13828" w14:textId="77777777" w:rsidR="00FF1216" w:rsidRPr="00FF1216" w:rsidRDefault="00FF1216" w:rsidP="00FF1216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E' disponibile una Certificazione di sistema di gestione ambientale di tipo ISO 14001 o EMAS rilasciata sotto accreditamento?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4237C" w14:textId="77777777" w:rsidR="00FF1216" w:rsidRPr="00FF1216" w:rsidRDefault="00FF1216" w:rsidP="00FF121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F121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B2146F" w14:textId="77777777" w:rsidR="00FF1216" w:rsidRPr="00FF1216" w:rsidRDefault="00FF1216" w:rsidP="00FF12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F1216" w:rsidRPr="00FF1216" w14:paraId="20F20558" w14:textId="77777777" w:rsidTr="002F69A7">
        <w:trPr>
          <w:trHeight w:val="30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F38296" w14:textId="77777777" w:rsidR="00FF1216" w:rsidRPr="00FF1216" w:rsidRDefault="00FF1216" w:rsidP="00FF12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4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9E568CA" w14:textId="4E3AB5F2" w:rsidR="00FF1216" w:rsidRPr="00FF1216" w:rsidRDefault="00FF1216" w:rsidP="00FF1216">
            <w:pPr>
              <w:spacing w:before="60" w:after="60"/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FF1216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Il requisito 0.1 verifica il rispetto del principio DNSH in maniera trasversale per tutti gli obiettivi ambientali rilevanti. Nel caso in cui questo non fosse disponibi</w:t>
            </w: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l</w:t>
            </w:r>
            <w:r w:rsidRPr="00FF1216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e, rispondere ai punti successivi</w:t>
            </w:r>
          </w:p>
        </w:tc>
      </w:tr>
      <w:tr w:rsidR="00FF1216" w:rsidRPr="00FF1216" w14:paraId="655C394C" w14:textId="77777777" w:rsidTr="002F69A7">
        <w:trPr>
          <w:trHeight w:val="351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FC3D363" w14:textId="77777777" w:rsidR="00FF1216" w:rsidRPr="00FF1216" w:rsidRDefault="00FF1216" w:rsidP="00FF12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4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169175AD" w14:textId="77777777" w:rsidR="00FF1216" w:rsidRPr="00FF1216" w:rsidRDefault="00FF1216" w:rsidP="00FF1216">
            <w:pPr>
              <w:spacing w:before="60" w:after="60"/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FF1216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In un primo momento l'elemento di verifica al punto 1 rimpiazzerà gli elementi di verifica ai punti 2, </w:t>
            </w:r>
            <w:proofErr w:type="gramStart"/>
            <w:r w:rsidRPr="00FF1216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3  o</w:t>
            </w:r>
            <w:proofErr w:type="gramEnd"/>
            <w:r w:rsidRPr="00FF1216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 4</w:t>
            </w:r>
          </w:p>
        </w:tc>
      </w:tr>
      <w:tr w:rsidR="00FF1216" w:rsidRPr="00FF1216" w14:paraId="3AF4EAC7" w14:textId="77777777" w:rsidTr="002F69A7">
        <w:trPr>
          <w:trHeight w:val="831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0F1571" w14:textId="77777777" w:rsidR="00FF1216" w:rsidRPr="00FF1216" w:rsidRDefault="00FF1216" w:rsidP="00FF12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65B0E" w14:textId="77777777" w:rsidR="00FF1216" w:rsidRPr="00FF1216" w:rsidRDefault="00FF1216" w:rsidP="00FF1216">
            <w:pPr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FFB1B" w14:textId="77777777" w:rsidR="00FF1216" w:rsidRPr="00FF1216" w:rsidRDefault="00FF1216" w:rsidP="00FF1216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Le nuove apparecchiature IT acquistate per i data center che ospitano i servizi di hosting e </w:t>
            </w:r>
            <w:proofErr w:type="spellStart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cloud</w:t>
            </w:r>
            <w:proofErr w:type="spellEnd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sono certificate secondo lo standard internazionale sull’efficienza energetica </w:t>
            </w:r>
            <w:proofErr w:type="spellStart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EneryStar</w:t>
            </w:r>
            <w:proofErr w:type="spellEnd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, o equivalente?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11E89" w14:textId="77777777" w:rsidR="00FF1216" w:rsidRPr="00FF1216" w:rsidRDefault="00FF1216" w:rsidP="00FF121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F121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5D64E9" w14:textId="77777777" w:rsidR="00FF1216" w:rsidRPr="00FF1216" w:rsidRDefault="00FF1216" w:rsidP="00FF12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F1216" w:rsidRPr="00FF1216" w14:paraId="1A747A56" w14:textId="77777777" w:rsidTr="002F69A7">
        <w:trPr>
          <w:trHeight w:val="288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DFAD9B" w14:textId="77777777" w:rsidR="00FF1216" w:rsidRPr="00FF1216" w:rsidRDefault="00FF1216" w:rsidP="00FF12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001400EF" w14:textId="77777777" w:rsidR="00FF1216" w:rsidRPr="00FF1216" w:rsidRDefault="00FF1216" w:rsidP="00FF1216">
            <w:pPr>
              <w:spacing w:before="60" w:after="60"/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FF1216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I punti 2, 3 e 4 sono alternativi</w:t>
            </w:r>
          </w:p>
        </w:tc>
      </w:tr>
      <w:tr w:rsidR="00FF1216" w:rsidRPr="00FF1216" w14:paraId="2A263868" w14:textId="77777777" w:rsidTr="002F69A7">
        <w:trPr>
          <w:trHeight w:val="875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8600DA" w14:textId="77777777" w:rsidR="00FF1216" w:rsidRPr="00FF1216" w:rsidRDefault="00FF1216" w:rsidP="00FF12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B5088" w14:textId="77777777" w:rsidR="00FF1216" w:rsidRPr="00FF1216" w:rsidRDefault="00FF1216" w:rsidP="00FF1216">
            <w:pPr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D2E91" w14:textId="77777777" w:rsidR="00FF1216" w:rsidRPr="00FF1216" w:rsidRDefault="00FF1216" w:rsidP="00FF1216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Sono stati svolti degli studi di fattibilità per l’implementazione e il rispetto di tutte le “pratiche attese” incluse nella versione più recente del codice di condotta europeo sull’efficienza energetica dei centri dati e hanno attuato tutte le pratiche attese a cui è stato assegnato il valore massimo di 5?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05690" w14:textId="77777777" w:rsidR="00FF1216" w:rsidRPr="00FF1216" w:rsidRDefault="00FF1216" w:rsidP="00FF121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F121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658EDB" w14:textId="77777777" w:rsidR="00FF1216" w:rsidRPr="00FF1216" w:rsidRDefault="00FF1216" w:rsidP="00FF12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F1216" w:rsidRPr="00FF1216" w14:paraId="6EF638AB" w14:textId="77777777" w:rsidTr="002F69A7">
        <w:trPr>
          <w:trHeight w:val="916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74EC740" w14:textId="77777777" w:rsidR="00FF1216" w:rsidRPr="00FF1216" w:rsidRDefault="00FF1216" w:rsidP="00FF12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E9115" w14:textId="77777777" w:rsidR="00FF1216" w:rsidRPr="00FF1216" w:rsidRDefault="00FF1216" w:rsidP="00FF1216">
            <w:pPr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09A43" w14:textId="77777777" w:rsidR="00FF1216" w:rsidRPr="00FF1216" w:rsidRDefault="00FF1216" w:rsidP="00FF1216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 data center che ospitano i servizi di hosting e </w:t>
            </w:r>
            <w:proofErr w:type="spellStart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cloud</w:t>
            </w:r>
            <w:proofErr w:type="spellEnd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aderiscono alle pratiche raccomandate contenute nel CEN-CENELEC documento CLC TR50600-99-1 "Data centre </w:t>
            </w:r>
            <w:proofErr w:type="spellStart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facilities</w:t>
            </w:r>
            <w:proofErr w:type="spellEnd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and </w:t>
            </w:r>
            <w:proofErr w:type="spellStart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infrastructures</w:t>
            </w:r>
            <w:proofErr w:type="spellEnd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- Part 99-</w:t>
            </w:r>
            <w:proofErr w:type="gramStart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1 :</w:t>
            </w:r>
            <w:proofErr w:type="gramEnd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Recommended</w:t>
            </w:r>
            <w:proofErr w:type="spellEnd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practices</w:t>
            </w:r>
            <w:proofErr w:type="spellEnd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for </w:t>
            </w:r>
            <w:proofErr w:type="spellStart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energy</w:t>
            </w:r>
            <w:proofErr w:type="spellEnd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management?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AC8B1" w14:textId="77777777" w:rsidR="00FF1216" w:rsidRPr="00FF1216" w:rsidRDefault="00FF1216" w:rsidP="00FF121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F121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320BA9" w14:textId="77777777" w:rsidR="00FF1216" w:rsidRPr="00FF1216" w:rsidRDefault="00FF1216" w:rsidP="00FF12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F1216" w:rsidRPr="00FF1216" w14:paraId="23BB03F3" w14:textId="77777777" w:rsidTr="002F69A7">
        <w:trPr>
          <w:trHeight w:val="844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E8F5FF" w14:textId="77777777" w:rsidR="00FF1216" w:rsidRPr="00FF1216" w:rsidRDefault="00FF1216" w:rsidP="00FF12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23DD5" w14:textId="77777777" w:rsidR="00FF1216" w:rsidRPr="00FF1216" w:rsidRDefault="00FF1216" w:rsidP="00FF1216">
            <w:pPr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FA82" w14:textId="77777777" w:rsidR="00FF1216" w:rsidRPr="00FF1216" w:rsidRDefault="00FF1216" w:rsidP="00FF1216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Sono rispettati tutti i Criteri dell'UE applicabili in materia di appalti pubblici verdi per i centri dati, le sale server e servizi </w:t>
            </w:r>
            <w:proofErr w:type="spellStart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cloud</w:t>
            </w:r>
            <w:proofErr w:type="spellEnd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 fornite le relative prove di verifica?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916CE" w14:textId="77777777" w:rsidR="00FF1216" w:rsidRPr="00FF1216" w:rsidRDefault="00FF1216" w:rsidP="00FF121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F121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1CC4EA" w14:textId="77777777" w:rsidR="00FF1216" w:rsidRPr="00FF1216" w:rsidRDefault="00FF1216" w:rsidP="00FF12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F1216" w:rsidRPr="00FF1216" w14:paraId="0ACCE3FE" w14:textId="77777777" w:rsidTr="002F69A7">
        <w:trPr>
          <w:trHeight w:val="829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8934AEE" w14:textId="77777777" w:rsidR="00FF1216" w:rsidRPr="00FF1216" w:rsidRDefault="00FF1216" w:rsidP="00FF12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E7B82" w14:textId="77777777" w:rsidR="00FF1216" w:rsidRPr="00FF1216" w:rsidRDefault="00FF1216" w:rsidP="00FF1216">
            <w:pPr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4E50C" w14:textId="77777777" w:rsidR="00FF1216" w:rsidRPr="00FF1216" w:rsidRDefault="00FF1216" w:rsidP="00FF1216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 data center che ospitano i servizi di hosting e </w:t>
            </w:r>
            <w:proofErr w:type="spellStart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cloud</w:t>
            </w:r>
            <w:proofErr w:type="spellEnd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hanno un piano di gestione dei rifiuti?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3C763" w14:textId="77777777" w:rsidR="00FF1216" w:rsidRPr="00FF1216" w:rsidRDefault="00FF1216" w:rsidP="00FF121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F121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550C7C" w14:textId="77777777" w:rsidR="00FF1216" w:rsidRPr="00FF1216" w:rsidRDefault="00FF1216" w:rsidP="00FF12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F1216" w:rsidRPr="00FF1216" w14:paraId="38A47DF6" w14:textId="77777777" w:rsidTr="002F69A7">
        <w:trPr>
          <w:trHeight w:val="288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532CCF" w14:textId="77777777" w:rsidR="00FF1216" w:rsidRPr="00FF1216" w:rsidRDefault="00FF1216" w:rsidP="00FF12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7E6E6"/>
            <w:noWrap/>
            <w:vAlign w:val="center"/>
            <w:hideMark/>
          </w:tcPr>
          <w:p w14:paraId="1EEB017B" w14:textId="77777777" w:rsidR="00FF1216" w:rsidRPr="00FF1216" w:rsidRDefault="00FF1216" w:rsidP="00FF1216">
            <w:pPr>
              <w:spacing w:before="60" w:after="60"/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FF1216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Nel caso in cui fosse verificato il punto 4, i punti 6, 7 e 8 si ritengono automaticamente verificati</w:t>
            </w:r>
          </w:p>
        </w:tc>
      </w:tr>
      <w:tr w:rsidR="00FF1216" w:rsidRPr="00FF1216" w14:paraId="6638A0B9" w14:textId="77777777" w:rsidTr="002F69A7">
        <w:trPr>
          <w:trHeight w:val="981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811BA3" w14:textId="77777777" w:rsidR="00FF1216" w:rsidRPr="00FF1216" w:rsidRDefault="00FF1216" w:rsidP="00FF12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E0AD1" w14:textId="77777777" w:rsidR="00FF1216" w:rsidRPr="00FF1216" w:rsidRDefault="00FF1216" w:rsidP="00FF1216">
            <w:pPr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C1BC27" w14:textId="77777777" w:rsidR="00FF1216" w:rsidRPr="00FF1216" w:rsidRDefault="00FF1216" w:rsidP="00FF1216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E' disponibile una dichiarazione dei produttori/fornitori di conformità alla seguente normativa: </w:t>
            </w:r>
            <w:proofErr w:type="spellStart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ecodesign</w:t>
            </w:r>
            <w:proofErr w:type="spellEnd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(Regolamento (EU) 2019/424) considerato che la conformità alle normative può essere dimostrata anche tramite il sistema di gestione ISO 30134:2016 certificato da organismi di certificazione accreditati?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C2843" w14:textId="77777777" w:rsidR="00FF1216" w:rsidRPr="00FF1216" w:rsidRDefault="00FF1216" w:rsidP="00FF121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F121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819B88" w14:textId="77777777" w:rsidR="00FF1216" w:rsidRPr="00FF1216" w:rsidRDefault="00FF1216" w:rsidP="00FF12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F1216" w:rsidRPr="00FF1216" w14:paraId="11649389" w14:textId="77777777" w:rsidTr="002F69A7">
        <w:trPr>
          <w:trHeight w:val="846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7ABDD6" w14:textId="77777777" w:rsidR="00FF1216" w:rsidRPr="00FF1216" w:rsidRDefault="00FF1216" w:rsidP="00FF12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19268" w14:textId="77777777" w:rsidR="00FF1216" w:rsidRPr="00FF1216" w:rsidRDefault="00FF1216" w:rsidP="00FF1216">
            <w:pPr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EA8D8D" w14:textId="77777777" w:rsidR="00FF1216" w:rsidRPr="00FF1216" w:rsidRDefault="00FF1216" w:rsidP="00FF1216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E' disponibile la comunicazione del calcolo della media ponderata del potenziale di riscaldamento globale, anche per l'inventario dei refrigeranti utilizzati nei siti o per fornire il servizio, e dimostrazione dell’aderenza al metodo descritto nell'allegato IV del regolamento (UE) n. 517/2014? In </w:t>
            </w:r>
            <w:proofErr w:type="spellStart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laternativa</w:t>
            </w:r>
            <w:proofErr w:type="spellEnd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, è presente sistema di gestione dell'energia (norma ISO 50001), che sia certificato da organismi di certificazione della conformità e riporti l'uso di refrigeranti;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5381B" w14:textId="77777777" w:rsidR="00FF1216" w:rsidRPr="00FF1216" w:rsidRDefault="00FF1216" w:rsidP="00FF121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F121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865480" w14:textId="77777777" w:rsidR="00FF1216" w:rsidRPr="00FF1216" w:rsidRDefault="00FF1216" w:rsidP="00FF12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F1216" w:rsidRPr="00FF1216" w14:paraId="75A67B91" w14:textId="77777777" w:rsidTr="002F69A7">
        <w:trPr>
          <w:trHeight w:val="119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7CAADC" w14:textId="77777777" w:rsidR="00FF1216" w:rsidRPr="00FF1216" w:rsidRDefault="00FF1216" w:rsidP="00FF12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3ADAF" w14:textId="77777777" w:rsidR="00FF1216" w:rsidRPr="00FF1216" w:rsidRDefault="00FF1216" w:rsidP="00FF1216">
            <w:pPr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04C4" w14:textId="77777777" w:rsidR="00FF1216" w:rsidRPr="00FF1216" w:rsidRDefault="00FF1216" w:rsidP="00FF1216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La conformità delle apparecchiature dei data center è autocertificata dal produttore/fornitore tramite una dichiarazione resa ai sensi del D.P.R. n. 445/2000, adeguandosi alla seguente normativa: REACH (Regolamento (CE) n.1907/2006); </w:t>
            </w:r>
            <w:proofErr w:type="spellStart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RoHS</w:t>
            </w:r>
            <w:proofErr w:type="spellEnd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(Direttiva 2011/65/EU e </w:t>
            </w:r>
            <w:proofErr w:type="spellStart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ss.m.i</w:t>
            </w:r>
            <w:proofErr w:type="spellEnd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.); compatibilità elettromagnetica (Direttiva 2014/30/UE) (la conformità alla norma </w:t>
            </w:r>
            <w:proofErr w:type="spellStart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RoHS</w:t>
            </w:r>
            <w:proofErr w:type="spellEnd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può essere dimostrata applicando la norma EN IEC 63000:2018)?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2A627" w14:textId="77777777" w:rsidR="00FF1216" w:rsidRPr="00FF1216" w:rsidRDefault="00FF1216" w:rsidP="00FF121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F121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FCDC90" w14:textId="77777777" w:rsidR="00FF1216" w:rsidRPr="00FF1216" w:rsidRDefault="00FF1216" w:rsidP="00FF12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F1216" w:rsidRPr="00FF1216" w14:paraId="683D7A8E" w14:textId="77777777" w:rsidTr="002F69A7">
        <w:trPr>
          <w:trHeight w:val="381"/>
        </w:trPr>
        <w:tc>
          <w:tcPr>
            <w:tcW w:w="16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EDF623D" w14:textId="77777777" w:rsidR="00FF1216" w:rsidRPr="00FF1216" w:rsidRDefault="00FF1216" w:rsidP="00FF1216">
            <w:pPr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32"/>
                <w:szCs w:val="22"/>
              </w:rPr>
            </w:pPr>
            <w:r w:rsidRPr="00FF1216">
              <w:rPr>
                <w:rFonts w:ascii="Calibri" w:hAnsi="Calibri" w:cs="Calibri"/>
                <w:b/>
                <w:color w:val="000000"/>
                <w:sz w:val="32"/>
                <w:szCs w:val="22"/>
              </w:rPr>
              <w:t>Ex-post</w:t>
            </w:r>
          </w:p>
        </w:tc>
        <w:tc>
          <w:tcPr>
            <w:tcW w:w="1984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7E6E6"/>
            <w:noWrap/>
            <w:vAlign w:val="center"/>
            <w:hideMark/>
          </w:tcPr>
          <w:p w14:paraId="2AC87BAE" w14:textId="77777777" w:rsidR="00FF1216" w:rsidRPr="00FF1216" w:rsidRDefault="00FF1216" w:rsidP="00FF1216">
            <w:pPr>
              <w:spacing w:before="60" w:after="60"/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FF1216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In un primo momento l'elemento di verifica al punto 9 rimpiazzerà l'elemento di verifica al punto 10</w:t>
            </w:r>
          </w:p>
        </w:tc>
      </w:tr>
      <w:tr w:rsidR="00FF1216" w:rsidRPr="00FF1216" w14:paraId="6E275078" w14:textId="77777777" w:rsidTr="002F69A7">
        <w:trPr>
          <w:trHeight w:val="879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938A35" w14:textId="77777777" w:rsidR="00FF1216" w:rsidRPr="00FF1216" w:rsidRDefault="00FF1216" w:rsidP="00FF12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9C6F4" w14:textId="77777777" w:rsidR="00FF1216" w:rsidRPr="00FF1216" w:rsidRDefault="00FF1216" w:rsidP="00FF1216">
            <w:pPr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C26537" w14:textId="77777777" w:rsidR="00FF1216" w:rsidRPr="00FF1216" w:rsidRDefault="00FF1216" w:rsidP="00FF1216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Sono stati attuati i criteri di esecuzione del contratto così come definiti dai Criteri dell'UE in materia di appalti pubblici verdi per i centri dati, le sale server e i servizi </w:t>
            </w:r>
            <w:proofErr w:type="spellStart"/>
            <w:proofErr w:type="gramStart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cloud</w:t>
            </w:r>
            <w:proofErr w:type="spellEnd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nel</w:t>
            </w:r>
            <w:proofErr w:type="gramEnd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Documento di Lavoro dei servizi della Commissione e sono disponibili le relative prove di verifica?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1E25F" w14:textId="77777777" w:rsidR="00FF1216" w:rsidRPr="00FF1216" w:rsidRDefault="00FF1216" w:rsidP="00FF121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F121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4625DD" w14:textId="77777777" w:rsidR="00FF1216" w:rsidRPr="00FF1216" w:rsidRDefault="00FF1216" w:rsidP="00FF12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F1216" w:rsidRPr="00FF1216" w14:paraId="6CF88120" w14:textId="77777777" w:rsidTr="002F69A7">
        <w:trPr>
          <w:trHeight w:val="942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470CD8" w14:textId="77777777" w:rsidR="00FF1216" w:rsidRPr="00FF1216" w:rsidRDefault="00FF1216" w:rsidP="00FF12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4A10C" w14:textId="77777777" w:rsidR="00FF1216" w:rsidRPr="00FF1216" w:rsidRDefault="00FF1216" w:rsidP="00FF1216">
            <w:pPr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31676" w14:textId="77777777" w:rsidR="00FF1216" w:rsidRPr="00FF1216" w:rsidRDefault="00FF1216" w:rsidP="00FF1216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L’adesione al </w:t>
            </w:r>
            <w:proofErr w:type="spellStart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European</w:t>
            </w:r>
            <w:proofErr w:type="spellEnd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Code of </w:t>
            </w:r>
            <w:proofErr w:type="spellStart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Conduct</w:t>
            </w:r>
            <w:proofErr w:type="spellEnd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for Data Centre Energy </w:t>
            </w:r>
            <w:proofErr w:type="spellStart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Efficiency</w:t>
            </w:r>
            <w:proofErr w:type="spellEnd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 l’attuazione delle pratiche attese in esso descritte (o nel documento CEN- CENELEC CLC TR50600-99-1 Data centre </w:t>
            </w:r>
            <w:proofErr w:type="spellStart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facilities</w:t>
            </w:r>
            <w:proofErr w:type="spellEnd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and </w:t>
            </w:r>
            <w:proofErr w:type="spellStart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infrastructures</w:t>
            </w:r>
            <w:proofErr w:type="spellEnd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Part 99-1: </w:t>
            </w:r>
            <w:proofErr w:type="spellStart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Recommended</w:t>
            </w:r>
            <w:proofErr w:type="spellEnd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practices</w:t>
            </w:r>
            <w:proofErr w:type="spellEnd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for </w:t>
            </w:r>
            <w:proofErr w:type="spellStart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energy</w:t>
            </w:r>
            <w:proofErr w:type="spellEnd"/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management) è stata verificata da una parte terza indipendente ed è stato svolto un audit almeno ogni tre anni?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18330" w14:textId="77777777" w:rsidR="00FF1216" w:rsidRPr="00FF1216" w:rsidRDefault="00FF1216" w:rsidP="00FF121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F121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F28581" w14:textId="77777777" w:rsidR="00FF1216" w:rsidRPr="00FF1216" w:rsidRDefault="00FF1216" w:rsidP="00FF12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12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F69A7" w:rsidRPr="00193B14" w14:paraId="70802BEE" w14:textId="77777777" w:rsidTr="001936EE">
        <w:trPr>
          <w:trHeight w:val="1170"/>
        </w:trPr>
        <w:tc>
          <w:tcPr>
            <w:tcW w:w="13174" w:type="dxa"/>
            <w:gridSpan w:val="3"/>
            <w:tcBorders>
              <w:top w:val="single" w:sz="4" w:space="0" w:color="auto"/>
            </w:tcBorders>
          </w:tcPr>
          <w:p w14:paraId="765CC9CD" w14:textId="77777777" w:rsidR="002F69A7" w:rsidRPr="003B6D4B" w:rsidRDefault="002F69A7" w:rsidP="001936EE">
            <w:pPr>
              <w:autoSpaceDE w:val="0"/>
              <w:autoSpaceDN w:val="0"/>
              <w:adjustRightInd w:val="0"/>
              <w:spacing w:before="60"/>
              <w:ind w:left="705" w:hanging="705"/>
              <w:rPr>
                <w:rFonts w:ascii="Calibri" w:hAnsi="Calibri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</w:tcPr>
          <w:p w14:paraId="60B6A9BE" w14:textId="77777777" w:rsidR="002F69A7" w:rsidRDefault="002F69A7" w:rsidP="001936EE">
            <w:pPr>
              <w:spacing w:before="60" w:after="60"/>
              <w:jc w:val="center"/>
              <w:rPr>
                <w:rFonts w:eastAsia="Arial" w:cstheme="minorHAnsi"/>
                <w:sz w:val="24"/>
                <w:szCs w:val="24"/>
                <w:lang w:bidi="it-IT"/>
              </w:rPr>
            </w:pPr>
            <w:r w:rsidRPr="00D80DCE">
              <w:rPr>
                <w:rFonts w:eastAsia="Arial" w:cstheme="minorHAnsi"/>
                <w:sz w:val="24"/>
                <w:szCs w:val="24"/>
                <w:lang w:bidi="it-IT"/>
              </w:rPr>
              <w:t>Data</w:t>
            </w:r>
          </w:p>
          <w:p w14:paraId="5A9AC9FE" w14:textId="77777777" w:rsidR="002F69A7" w:rsidRPr="00193B14" w:rsidRDefault="002F69A7" w:rsidP="001936EE">
            <w:pPr>
              <w:spacing w:before="240"/>
              <w:jc w:val="center"/>
              <w:rPr>
                <w:rFonts w:ascii="Calibri" w:hAnsi="Calibri" w:cs="Calibri"/>
                <w:b/>
                <w:color w:val="000000"/>
                <w:sz w:val="28"/>
                <w:szCs w:val="18"/>
              </w:rPr>
            </w:pPr>
            <w:r>
              <w:rPr>
                <w:rFonts w:eastAsia="Arial" w:cstheme="minorHAnsi"/>
                <w:sz w:val="24"/>
                <w:szCs w:val="24"/>
                <w:lang w:bidi="it-IT"/>
              </w:rPr>
              <w:t>_____________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</w:tcBorders>
            <w:shd w:val="clear" w:color="auto" w:fill="auto"/>
            <w:noWrap/>
          </w:tcPr>
          <w:p w14:paraId="7F440BA8" w14:textId="77777777" w:rsidR="002F69A7" w:rsidRPr="00193B14" w:rsidRDefault="002F69A7" w:rsidP="001936EE">
            <w:pPr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Enfasicorsivo"/>
                <w:rFonts w:cstheme="minorHAnsi"/>
                <w:sz w:val="24"/>
                <w:szCs w:val="24"/>
              </w:rPr>
              <w:t>Timbro e firma</w:t>
            </w:r>
          </w:p>
        </w:tc>
      </w:tr>
    </w:tbl>
    <w:p w14:paraId="114B1264" w14:textId="3876C769" w:rsidR="00E9307D" w:rsidRPr="002F69A7" w:rsidRDefault="00E9307D" w:rsidP="003B6D4B">
      <w:pPr>
        <w:spacing w:before="240"/>
        <w:ind w:right="2119"/>
        <w:jc w:val="right"/>
        <w:rPr>
          <w:rStyle w:val="Enfasicorsivo"/>
          <w:rFonts w:cstheme="minorHAnsi"/>
          <w:sz w:val="4"/>
          <w:szCs w:val="4"/>
        </w:rPr>
      </w:pPr>
    </w:p>
    <w:sectPr w:rsidR="00E9307D" w:rsidRPr="002F69A7" w:rsidSect="002F69A7">
      <w:headerReference w:type="default" r:id="rId7"/>
      <w:footnotePr>
        <w:numRestart w:val="eachSect"/>
      </w:footnotePr>
      <w:pgSz w:w="23808" w:h="16840" w:orient="landscape" w:code="8"/>
      <w:pgMar w:top="709" w:right="1418" w:bottom="142" w:left="1134" w:header="142" w:footer="30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102075" w14:textId="77777777" w:rsidR="00DF29FA" w:rsidRDefault="00DF29FA">
      <w:r>
        <w:separator/>
      </w:r>
    </w:p>
  </w:endnote>
  <w:endnote w:type="continuationSeparator" w:id="0">
    <w:p w14:paraId="1B894EBA" w14:textId="77777777" w:rsidR="00DF29FA" w:rsidRDefault="00DF2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24B4E9" w14:textId="77777777" w:rsidR="00DF29FA" w:rsidRDefault="00DF29FA">
      <w:r>
        <w:separator/>
      </w:r>
    </w:p>
  </w:footnote>
  <w:footnote w:type="continuationSeparator" w:id="0">
    <w:p w14:paraId="1F8F4E05" w14:textId="77777777" w:rsidR="00DF29FA" w:rsidRDefault="00DF2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4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256737"/>
    <w:multiLevelType w:val="hybridMultilevel"/>
    <w:tmpl w:val="5F1C32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02EE0"/>
    <w:rsid w:val="001048CB"/>
    <w:rsid w:val="00105110"/>
    <w:rsid w:val="00114C05"/>
    <w:rsid w:val="00120E21"/>
    <w:rsid w:val="00121551"/>
    <w:rsid w:val="00127753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3B14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08F2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AF0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2F69A7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6D4B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187"/>
    <w:rsid w:val="003F17A1"/>
    <w:rsid w:val="003F4D69"/>
    <w:rsid w:val="00403086"/>
    <w:rsid w:val="00411A5B"/>
    <w:rsid w:val="00420FAD"/>
    <w:rsid w:val="004223E6"/>
    <w:rsid w:val="00422EF1"/>
    <w:rsid w:val="004248CA"/>
    <w:rsid w:val="00426155"/>
    <w:rsid w:val="00437FFA"/>
    <w:rsid w:val="00440070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88C"/>
    <w:rsid w:val="004D5AE5"/>
    <w:rsid w:val="004D681B"/>
    <w:rsid w:val="004D7D54"/>
    <w:rsid w:val="004E1A11"/>
    <w:rsid w:val="0050142A"/>
    <w:rsid w:val="005077F1"/>
    <w:rsid w:val="00514499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66574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C1C49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972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45C9"/>
    <w:rsid w:val="007A604B"/>
    <w:rsid w:val="007B6592"/>
    <w:rsid w:val="007B7687"/>
    <w:rsid w:val="007C3846"/>
    <w:rsid w:val="007D2D0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B3DD8"/>
    <w:rsid w:val="008C00B7"/>
    <w:rsid w:val="008C4A4E"/>
    <w:rsid w:val="008C570C"/>
    <w:rsid w:val="008C69A2"/>
    <w:rsid w:val="008D5F02"/>
    <w:rsid w:val="008E6BDA"/>
    <w:rsid w:val="008F6E2B"/>
    <w:rsid w:val="008F774D"/>
    <w:rsid w:val="009011E3"/>
    <w:rsid w:val="00902951"/>
    <w:rsid w:val="00903504"/>
    <w:rsid w:val="009074B3"/>
    <w:rsid w:val="009079B9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4913"/>
    <w:rsid w:val="009E6685"/>
    <w:rsid w:val="009E69F1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203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E44B4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A1FC1"/>
    <w:rsid w:val="00CA7898"/>
    <w:rsid w:val="00CB02CE"/>
    <w:rsid w:val="00CB086B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4DE2"/>
    <w:rsid w:val="00D85157"/>
    <w:rsid w:val="00D85921"/>
    <w:rsid w:val="00D85C46"/>
    <w:rsid w:val="00D9127D"/>
    <w:rsid w:val="00D92A26"/>
    <w:rsid w:val="00D92BAF"/>
    <w:rsid w:val="00D935A7"/>
    <w:rsid w:val="00D944C8"/>
    <w:rsid w:val="00D96117"/>
    <w:rsid w:val="00D96493"/>
    <w:rsid w:val="00DA3C12"/>
    <w:rsid w:val="00DA7ACB"/>
    <w:rsid w:val="00DB480E"/>
    <w:rsid w:val="00DC1B35"/>
    <w:rsid w:val="00DC1BF9"/>
    <w:rsid w:val="00DD003E"/>
    <w:rsid w:val="00DD00A7"/>
    <w:rsid w:val="00DD4379"/>
    <w:rsid w:val="00DD537B"/>
    <w:rsid w:val="00DD6654"/>
    <w:rsid w:val="00DE7E89"/>
    <w:rsid w:val="00DF010D"/>
    <w:rsid w:val="00DF29FA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307D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20F5"/>
    <w:rsid w:val="00F1724A"/>
    <w:rsid w:val="00F21676"/>
    <w:rsid w:val="00F22539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216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102E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6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B.dotx</Template>
  <TotalTime>0</TotalTime>
  <Pages>2</Pages>
  <Words>1098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7345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Account Microsoft</cp:lastModifiedBy>
  <cp:revision>2</cp:revision>
  <cp:lastPrinted>2016-07-15T08:29:00Z</cp:lastPrinted>
  <dcterms:created xsi:type="dcterms:W3CDTF">2023-09-16T09:45:00Z</dcterms:created>
  <dcterms:modified xsi:type="dcterms:W3CDTF">2023-09-16T09:45:00Z</dcterms:modified>
</cp:coreProperties>
</file>