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  <w:rtl w:val="0"/>
              </w:rPr>
              <w:t xml:space="preserve">Certificazione di compatibilità finanziaria dell’ipotesi di contratto integrativo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VERBALE N. ......./....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Presso l'istituto ....................... di ......................., l'anno ......... il giorno ........., del mese di ........., alle ore ......................., si sono riuniti i Revisori dei Conti dell’ambito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riunione si svolge presso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I Revisori sono: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1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5"/>
        <w:gridCol w:w="2522.0000000000005"/>
        <w:gridCol w:w="2522.0000000000005"/>
        <w:gridCol w:w="2522.0000000000005"/>
        <w:tblGridChange w:id="0">
          <w:tblGrid>
            <w:gridCol w:w="3025"/>
            <w:gridCol w:w="2522.0000000000005"/>
            <w:gridCol w:w="2522.0000000000005"/>
            <w:gridCol w:w="2522.000000000000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Cognome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Rappresentanza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Assenza/Presenza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Ministero dell’economia e delle finanze (MEF)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Ministero dell'istruzione (MI)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Presente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3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29"/>
        <w:tblGridChange w:id="0">
          <w:tblGrid>
            <w:gridCol w:w="105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 Revisori esaminano l'ipotesi di Contratto Integrativo dell'Istituzione scolastica dell'anno scolastico  aaaa/aaaa  al fine di certificare la compatibilità finanziaria, ai sensi dell'art. 40-bis., comma 1, del D.Lgs. 30 marzo 2001, n. 165.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L’ipotesi di contratto è stata stipulata in data .../.../....  dal Dirigente Scolastico ..............................  e dalla parte sindacale costituita dalla RSU e dai rappresentanti territoriali delle organizzazioni sindacali firmatarie del CCNL 19 aprile 2018.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L’ipotesi di contratto integrativo è stata trasmessa ai Revisori dei conti in data: 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nei termini/oltre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termini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stabiliti dal vigente CCNL.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Ovvero (in alternativa ai primi tre periodi)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 Revisori esaminano l’atto unilaterale adottato ai sensi </w:t>
            </w:r>
            <w:r w:rsidDel="00000000" w:rsidR="00000000" w:rsidRPr="00000000">
              <w:rPr>
                <w:rFonts w:ascii="Times" w:cs="Times" w:eastAsia="Times" w:hAnsi="Times"/>
                <w:smallCaps w:val="0"/>
                <w:rtl w:val="0"/>
              </w:rPr>
              <w:t xml:space="preserve">dell'art. 40, comma 3-ter, del D.Lgs. 30 marzo 2001, n. 165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dal Dirigente Scolastico............in data....... e trasmesso ai Revisori in data...., relativo all'anno scolastico  aaaa/aaaa  al fine di certificare la compatibilità finanziaria ai sensi dell'art. 40-bis, comma 1, del D.Lgs. 30 marzo 2001, n. 165.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Il documento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corredato dalla “Relazione illustrativa” e dalla "Relazione tecnico-finanziaria", ai sensi dell’art. 40, comma 3-sexies, del D. Lgs. n. 165/2001.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relazione illustrativa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redatta secondo i disposti della Circolare MEF-RGS n. 25 del 19/7/2012.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relazione tecnico-finanziaria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redatta secondo i disposti della Circolare MEF-RGS n. 25 del 19/7/2012.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Elenco dei controlli: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regolare composizione della delegazione trattante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termini di cui all’art. 22, comma 7, CCNL 19/04/2018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presenza degli elementi essenziali del contratto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compatibilità degli oneri scaturenti dalla contrattazione con le risorse disponibili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di non corresponsione dei compensi nelle more della formalizzazione del contratto integrativo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5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Risorse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Le risorse finanziarie oggetto di contrattazione integrativa di sede per l'anno scolastico  ..../...., sono determinate come segue: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40"/>
        <w:gridCol w:w="1.0000000000002274"/>
        <w:gridCol w:w="2163.000000000001"/>
        <w:gridCol w:w="0.9999999999990905"/>
        <w:tblGridChange w:id="0">
          <w:tblGrid>
            <w:gridCol w:w="8140"/>
            <w:gridCol w:w="1.0000000000002274"/>
            <w:gridCol w:w="2163.000000000001"/>
            <w:gridCol w:w="0.99999999999909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Risorse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…/…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l’Istituzione Scolastica (art. 2, comma 2, primo alinea del CCNL 7/8/2014)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38.711,47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Funzioni strumentali al piano dell’offerta formativa (art. 2, comma 2, terzo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4.127,08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(art. 2, comma 2, quinto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per la sostituzione dei colleghi assenti (art. 30 del CCNL 29/11/2007)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del personale insegnante di educazione fisica nell’avviamento alla pratica sportiva (art. 2, comma 2, secondo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1.025,35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di cui all’articolo 1, comma 126, della legge 13 luglio 2015, n. 107, smi da utilizzare ai sensi dell’art. 1, comma 249, della legge 27 dicembre 2019, n. 160 </w:t>
              <w:tab/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di cui all’art. 1, comma 592, della legge n. 205/2017, nel rispetto dei criteri di indirizzo di cui al comma 593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 docenti Coordinatori di educazione fisica presso gli Uffici Scolastici Regionali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4775390625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Incarichi specifici del personale ATA (art. 2, comma 2, quarto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2.920,84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Turni notturni e festivi svolti dal personale ATA ed educativo presso i Convitti e gli Educandati </w:t>
              <w:tab/>
              <w:t xml:space="preserve"> 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docente della scuola Primaria e al personale ATA, Fascia A e B della Regione Friuli Venezia Giulia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sostituzione del Direttore dei Servizi Generali e Amministrativi (somme eventualmente assegnate dal MI)</w:t>
            </w:r>
          </w:p>
        </w:tc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“Fondo per il miglioramento dell’offerta formativa” (cedolino unico)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46.784,74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Ulteriori finanziamenti per corsi di recupero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(quota di risorse destinata alla remunerazione del personale)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Progetti nazionali (quota di risorse destinata alla remunerazione del personale) (art. 22, comma 4, lettera c), c3) CCNL 19/4/2018)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Progetti comunitari (quota di risorse destinata alla remunerazione del personale) (art. 22, comma 4, lettera c), c3) CCNL 19/4/2018)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70.412,50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su stanziamenti di bilancio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relative al Fondo per il miglioramento dell’offerta formativa non utilizzate provenienti dagli anni scolastici precedenti</w:t>
            </w:r>
          </w:p>
        </w:tc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economie esercizi precedenti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21.937,33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139.134,57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7"/>
        <w:gridCol w:w="2144"/>
        <w:tblGridChange w:id="0">
          <w:tblGrid>
            <w:gridCol w:w="7837"/>
            <w:gridCol w:w="214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Sintesi delle risorse 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Risorse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46.784,47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Risorse su stanziamenti di bilancio Scuola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70.412,50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Economie esercizi precedenti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21.937,33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(lordo dipendente)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139.134,57</w:t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L’assegnazione delle risorse finanziarie degli istituti contrattuali che compongono il “Fondo per il miglioramento dell’offerta formativa” è stata comunicata dal Ministero dell’istruzione con nota n. 36704 del 30/09/2024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Elenco dei controlli</w:t>
      </w:r>
    </w:p>
    <w:p w:rsidR="00000000" w:rsidDel="00000000" w:rsidP="00000000" w:rsidRDefault="00000000" w:rsidRPr="00000000" w14:paraId="000000B7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della corretta quantificazione delle risorse destinate al Fondo per l’Istituzione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1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corretta quantificazione delle altre risorse oggetto di contrattazione;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1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corretta quantificazione risorse inutilizzate nell’anno precedente.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8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Ore eccedenti sostituzione colleghi assenti competenza: euro 2.650,43; 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valorizzazione personale scolastico: voce aggiunta al FIS per un importo di euro 11.625,34. Somme non utilizzate dagli anni precedenti pari ad euro 10.716,76 derivanti dagli importi relativi a: FIS, aree a rischio educazione fisica. Le ore eccedenti sostituzione colleghi assenti provenienti dagli anni precedenti sono redistribuite alla destinazione specifica.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Assegnazioni per funzioni miste provenienti dal Comune di Pesaro presenti per un importo di euro 3.600,05 destinato al personale ATA.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Assegnazione per indennità di disagio agli assistenti tecnici: € 800,00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Integrazione risorse a.s. 2017/18 destinato a fondo di riserva: € 277,29</w:t>
            </w:r>
          </w:p>
        </w:tc>
      </w:tr>
    </w:tbl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Finalizzazioni</w:t>
      </w:r>
      <w:r w:rsidDel="00000000" w:rsidR="00000000" w:rsidRPr="00000000">
        <w:rPr>
          <w:smallCaps w:val="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Le attività di cui è stata prevista la specifica remunerazione, nei limiti delle risorse finanziarie come sopra riportate, attengono alle diverse esigenze didattiche e organizzative e alle aree di personale interno alla Scuola, in correlazione anche con il PTOF.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Di seguito si indicano le attività e i relativi compensi stabiliti per il personale interessato: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8"/>
        <w:gridCol w:w="2187.0000000000005"/>
        <w:tblGridChange w:id="0">
          <w:tblGrid>
            <w:gridCol w:w="8088"/>
            <w:gridCol w:w="2187.000000000000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PERSONALE DOCENTE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Particolare impegno professionale “in aula” connesso alle innovazioni e alla ricerca didattica e flessibilità organizzativa e didattica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a)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Attività aggiuntive di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b)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10.904,12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aggiuntive per l’attuazione dei corsi di recupero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c)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Attività aggiuntive funzionali all’insegnamento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d)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26.074,50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attribuiti ai collaboratori del dirigente scolastico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f)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turno notturno, festivo e notturno-festivo del personale educativo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g)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docente della scuola Primaria della Regione Friuli-Venezia Giulia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il personale docente ed educativo per ogni altra attività deliberata nell’ambito del PTOF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k)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Particolari impegni connessi alla valutazione degli alunni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l)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le ore eccedenti del personale insegnante di educazione fisica nell’avviamento alla pratica sportiva (Art. 40 CCNL 8/2/2018)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 docenti Coordinatori di educazione fisica presso gli Uffici Scolastici Regionali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1.025,35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Funzioni strumentali al piano dell’offerta formativa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33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4.127,08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9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per la sostituzione dei colleghi assenti Art. 40 CCNL 8/2/2018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Valorizzazione, ai sensi dell’art. 1, commi da 126 a 128, della legge n. 107/2015 e dell’art. 1, comma 249, della legge n. 160/2019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 dell'impegno in attività di formazione, ricerca e sperimentazione didattica e valorizzazione del contributo alla diffusione nelle istituzioni scolastiche di modelli per una didattica per lo sviluppo delle competenze (art. 1, commi 592 e 593 della legge n. 205/2017)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47.256,93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 – quota destinata al personale docente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Ulteriori compensi per corsi di recupero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Art. 1, comma 784, Legge n. 145/2018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nazionali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comunitari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5.270,94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su stanziamenti di bilancio 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PERSONALE DOCENTE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52.527,87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3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7"/>
        <w:gridCol w:w="2129"/>
        <w:tblGridChange w:id="0">
          <w:tblGrid>
            <w:gridCol w:w="8107"/>
            <w:gridCol w:w="2129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PERSONALE ATA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Quota variabile dell’indennità di direzione DSGA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j)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Compenso per il sostituto del DSGA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i)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465,35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Prestazioni aggiuntive del personale ATA (art. 88, comma 2, lettera e)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10.221,61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il personale ATA per ogni altra attività deliberata nell’ambito del PTOF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k)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turno notturno, festivo e notturno-festivo del personale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trike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ATA delle istituzioni educative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ATA, Fascia A e B della Regione Friuli Venezia Giulia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Incarichi specifici personale 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47 CCNL 29/11/2007, comma 1 lettera b) come sostituito dall'art. 1 della sequenza contrattuale personale ATA 25/7/2008)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2.920,84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Art. 40 CCNL 8/2/2018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 ai sensi dell’art. 1, commi da 126 a 128, della legge n. 107/2015 e dell’art. 1, comma 249, della legge n. 160/2019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13.607,80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 – quota destinata al personale 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(Art. 40 CCNL 8/2/2018)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DSGA (art. 89 CCNL 29/11/2007 come sostituito dall'art. 3 della sequenza contrattuale personale ATA 25/7/2008)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7.727,70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nazionali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comunitari (art. 22, comma 4, lettera c), c3) CCNL 19/4/2018))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65.141,56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su stanziamenti di bilancio 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PERSONALE ATA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86.477,06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Elenco dei controlli</w:t>
      </w:r>
    </w:p>
    <w:p w:rsidR="00000000" w:rsidDel="00000000" w:rsidP="00000000" w:rsidRDefault="00000000" w:rsidRPr="00000000" w14:paraId="000001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coerenza delle attività contrattate con quelle previste da PTOF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compensi attribuiti al 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che gli istituti retributivi previsti sono conformi a quelli indicati dal CCNL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che siano state rispettate le norme del CCNL in materia di determinazione dei compensi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11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 fronte di una disponibilità complessivamente quantificata in €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79.919,14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è stata prevista un'utilizzazione totale di risorse pari ad €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79.830,33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(in percentuale: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99,89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%).</w:t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Si rileva la seguente distribuzione del fondo dell’istituzione scolastica tra il personale docente e il personale ATA:</w:t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Personale docente: ...,...%</w:t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Personale ATA:  ...,... % </w:t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Conclusioni</w:t>
      </w:r>
    </w:p>
    <w:p w:rsidR="00000000" w:rsidDel="00000000" w:rsidP="00000000" w:rsidRDefault="00000000" w:rsidRPr="00000000" w14:paraId="000001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Pertanto, considerato che:</w:t>
      </w:r>
    </w:p>
    <w:p w:rsidR="00000000" w:rsidDel="00000000" w:rsidP="00000000" w:rsidRDefault="00000000" w:rsidRPr="00000000" w14:paraId="000001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l'individuazione delle risorse disponibili è stata effettuata correttamente;</w:t>
      </w:r>
    </w:p>
    <w:p w:rsidR="00000000" w:rsidDel="00000000" w:rsidP="00000000" w:rsidRDefault="00000000" w:rsidRPr="00000000" w14:paraId="000001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il contratto integrativo è stato predisposto in conformità alle vigenti disposizioni;</w:t>
      </w:r>
    </w:p>
    <w:p w:rsidR="00000000" w:rsidDel="00000000" w:rsidP="00000000" w:rsidRDefault="00000000" w:rsidRPr="00000000" w14:paraId="000001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l'onere scaturente dalla contrattazione risulta integralmente coperto dalle disponibilità</w:t>
      </w:r>
    </w:p>
    <w:p w:rsidR="00000000" w:rsidDel="00000000" w:rsidP="00000000" w:rsidRDefault="00000000" w:rsidRPr="00000000" w14:paraId="000001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Revisori esprimono parere favorevole in ordine alla compatibilità finanziaria della contrattazione integrativa dell’Istituto  .............. ................per l'anno scolastico aaaa/aaaa</w:t>
      </w:r>
    </w:p>
    <w:p w:rsidR="00000000" w:rsidDel="00000000" w:rsidP="00000000" w:rsidRDefault="00000000" w:rsidRPr="00000000" w14:paraId="000001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Oppure</w:t>
      </w:r>
    </w:p>
    <w:p w:rsidR="00000000" w:rsidDel="00000000" w:rsidP="00000000" w:rsidRDefault="00000000" w:rsidRPr="00000000" w14:paraId="000001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Revisori esprimono parere contrario sulla compatibilità finanziaria della contrattazione integrativa dell’Istituto .............. per l'anno scolastico aaaa/aaaa, per le seguenti motivazioni:</w:t>
      </w:r>
    </w:p>
    <w:p w:rsidR="00000000" w:rsidDel="00000000" w:rsidP="00000000" w:rsidRDefault="00000000" w:rsidRPr="00000000" w14:paraId="000001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1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1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 presente verbale, chiuso alle ore ......................., l'anno ......... il giorno ......... del mese di ........., viene letto, confermato, sottoscritto e successivamente inserito nell’apposito registro.</w:t>
      </w:r>
    </w:p>
    <w:p w:rsidR="00000000" w:rsidDel="00000000" w:rsidP="00000000" w:rsidRDefault="00000000" w:rsidRPr="00000000" w14:paraId="000001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4"/>
        <w:gridCol w:w="2856"/>
        <w:tblGridChange w:id="0">
          <w:tblGrid>
            <w:gridCol w:w="6664"/>
            <w:gridCol w:w="285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  <w:rtl w:val="0"/>
      </w:rPr>
      <w:t xml:space="preserve">Pagina: </w:t>
    </w: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240" w:lineRule="auto"/>
    </w:pPr>
    <w:rPr>
      <w:rFonts w:ascii="Cambria" w:cs="Cambria" w:eastAsia="Cambria" w:hAnsi="Cambria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240" w:lineRule="auto"/>
    </w:pPr>
    <w:rPr>
      <w:rFonts w:ascii="Cambria" w:cs="Cambria" w:eastAsia="Cambria" w:hAnsi="Cambria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240" w:lineRule="auto"/>
    </w:pPr>
    <w:rPr>
      <w:rFonts w:ascii="Cambria" w:cs="Cambria" w:eastAsia="Cambria" w:hAnsi="Cambria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HMnDw08wp9uJtTFxYdMWjrIKlg==">CgMxLjAyCWlkLmdqZGd4czIKaWQuMzBqMHpsbDIKaWQuMWZvYjl0ZTgAciExa0ZmbWFOd3E3aVd6SmVyWlFPMjBnNkJwYUpacXFLalc=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