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A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“Francesco Petrarca” di San Polo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YES WE STEM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6">
      <w:pPr>
        <w:widowControl w:val="1"/>
        <w:spacing w:after="160" w:line="256.7994545454545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CUP:D44D23004100006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" w:line="276" w:lineRule="auto"/>
        <w:ind w:right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DI SELEZIONE PER IL RECLUTAMENTO di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n. 5 componenti del Gruppo di Lavoro per la realizzazione dell’Intervento B – Realizzazione di percorsi formativi di lingua e di metodologia di durata annuale, finalizzati al potenziamento delle competenze linguistiche dei docenti in servizio e al miglioramento delle loro competenze metodologiche di insegnamento</w:t>
      </w:r>
    </w:p>
    <w:p w:rsidR="00000000" w:rsidDel="00000000" w:rsidP="00000000" w:rsidRDefault="00000000" w:rsidRPr="00000000" w14:paraId="00000009">
      <w:pPr>
        <w:widowControl w:val="1"/>
        <w:spacing w:after="24" w:line="276" w:lineRule="auto"/>
        <w:ind w:right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</w:p>
    <w:p w:rsidR="00000000" w:rsidDel="00000000" w:rsidP="00000000" w:rsidRDefault="00000000" w:rsidRPr="00000000" w14:paraId="00000018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4"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n. 5 componenti del Gruppo di Lavoro per la realizzazione dell’Intervento B – Realizzazione di percorsi formativi di lingua e di metodologia di durata annuale, finalizzati al potenziamento delle competenze linguistiche dei docenti in servizio e al miglioramento delle loro competenze metodologiche di insegnamento</w:t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-  dichiarazione dei titoli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1, che riporti integralmente l’anagrafica del candidato;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di un documento di riconoscimento in corso di validità.</w:t>
      </w:r>
    </w:p>
    <w:p w:rsidR="00000000" w:rsidDel="00000000" w:rsidP="00000000" w:rsidRDefault="00000000" w:rsidRPr="00000000" w14:paraId="00000021">
      <w:pPr>
        <w:widowControl w:val="1"/>
        <w:spacing w:before="54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7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tutte le condizioni elencate nell’Avviso di cui in oggetto per l’attribuzione dell’incarico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accettare senza condizioni la tempistica che verrà stabilita per la realizzazione del progetto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7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7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2E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disponibile a svolgere l’incarico senza riserve;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assicurare la propria presenza alle riunioni collegate alla realizzazione del progetto;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consegnare a conclusione tutta la documentazione inerente 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alla presente: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3A">
      <w:pPr>
        <w:widowControl w:val="1"/>
        <w:tabs>
          <w:tab w:val="left" w:leader="none" w:pos="398"/>
        </w:tabs>
        <w:spacing w:line="240" w:lineRule="auto"/>
        <w:ind w:left="0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3D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Verdan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w7h6UCCF8G+ut/OHEvh6Z3yXw==">CgMxLjAyCGguZ2pkZ3hzOAByITF5N1FTc01ueHdKMThhRS1QWVBYYXBHLVlZa3k3Y2xSVg==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