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566.9291338582675" w:right="28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esperti per la realizzazione di 10 percorsi individuali di mentoring e orientamento per 10 studenti delle classi della scuola secondaria di primo grado di 20 ore ciascuno, da svolgersi in orario antimeridiano o pomeridiano, al di fuori del proprio orario di servizio, per la realizzazione dell’attività “Percorsi di mentoring e orientamento” </w:t>
            </w:r>
            <w:r w:rsidDel="00000000" w:rsidR="00000000" w:rsidRPr="00000000">
              <w:rPr>
                <w:rFonts w:ascii="Calibri" w:cs="Calibri" w:eastAsia="Calibri" w:hAnsi="Calibri"/>
                <w:b w:val="1"/>
                <w:sz w:val="22"/>
                <w:szCs w:val="22"/>
                <w:u w:val="single"/>
                <w:rtl w:val="0"/>
              </w:rPr>
              <w:t xml:space="preserve">(n.ro edizioni coinvolte: 10 da 20 ore ognuna)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widowControl w:val="0"/>
              <w:tabs>
                <w:tab w:val="left" w:leader="none" w:pos="1733"/>
              </w:tabs>
              <w:spacing w:line="276" w:lineRule="auto"/>
              <w:ind w:left="0"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9">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A">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B">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C">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D">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0F">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0">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1">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2">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4">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5">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