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2A5A" w:rsidRDefault="00600201">
      <w:pPr>
        <w:spacing w:before="240" w:after="240"/>
        <w:jc w:val="center"/>
        <w:rPr>
          <w:b/>
          <w:sz w:val="56"/>
          <w:szCs w:val="56"/>
        </w:rPr>
      </w:pPr>
      <w:r>
        <w:rPr>
          <w:b/>
          <w:noProof/>
          <w:sz w:val="56"/>
          <w:szCs w:val="56"/>
        </w:rPr>
        <w:drawing>
          <wp:inline distT="114300" distB="114300" distL="114300" distR="114300">
            <wp:extent cx="1559564" cy="1757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559564" cy="1757363"/>
                    </a:xfrm>
                    <a:prstGeom prst="rect">
                      <a:avLst/>
                    </a:prstGeom>
                    <a:ln/>
                  </pic:spPr>
                </pic:pic>
              </a:graphicData>
            </a:graphic>
          </wp:inline>
        </w:drawing>
      </w:r>
    </w:p>
    <w:p w:rsidR="00512A5A" w:rsidRDefault="00600201">
      <w:pPr>
        <w:spacing w:before="240" w:after="240"/>
        <w:jc w:val="center"/>
        <w:rPr>
          <w:b/>
          <w:sz w:val="56"/>
          <w:szCs w:val="56"/>
        </w:rPr>
      </w:pPr>
      <w:r>
        <w:rPr>
          <w:b/>
          <w:sz w:val="56"/>
          <w:szCs w:val="56"/>
        </w:rPr>
        <w:t>Ministero dell’Istruzione,</w:t>
      </w:r>
    </w:p>
    <w:p w:rsidR="00512A5A" w:rsidRDefault="00600201">
      <w:pPr>
        <w:spacing w:before="240" w:after="240"/>
        <w:jc w:val="center"/>
        <w:rPr>
          <w:rFonts w:ascii="Times New Roman" w:eastAsia="Times New Roman" w:hAnsi="Times New Roman" w:cs="Times New Roman"/>
          <w:sz w:val="32"/>
          <w:szCs w:val="32"/>
          <w:highlight w:val="white"/>
        </w:rPr>
      </w:pPr>
      <w:r>
        <w:rPr>
          <w:rFonts w:ascii="Times New Roman" w:eastAsia="Times New Roman" w:hAnsi="Times New Roman" w:cs="Times New Roman"/>
          <w:b/>
          <w:sz w:val="32"/>
          <w:szCs w:val="32"/>
          <w:highlight w:val="white"/>
        </w:rPr>
        <w:t>"ISTITUTO COMPRENSIVO DI RUBIERA"</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Allegati al</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Manuale di Gestione</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Del Protocollo Informatico</w:t>
      </w: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600201">
      <w:pPr>
        <w:spacing w:before="240" w:after="240"/>
        <w:rPr>
          <w:rFonts w:ascii="Times New Roman" w:eastAsia="Times New Roman" w:hAnsi="Times New Roman" w:cs="Times New Roman"/>
          <w:sz w:val="32"/>
          <w:szCs w:val="32"/>
        </w:rPr>
      </w:pPr>
      <w:r>
        <w:lastRenderedPageBreak/>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7.1 Articolazioni delle AOO e delle UOR</w:t>
      </w:r>
    </w:p>
    <w:p w:rsidR="00512A5A" w:rsidRPr="00600201" w:rsidRDefault="00600201" w:rsidP="00497635">
      <w:pPr>
        <w:ind w:right="-20"/>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xml:space="preserve">Sezione </w:t>
      </w:r>
      <w:r w:rsidR="00497635" w:rsidRPr="00600201">
        <w:rPr>
          <w:rFonts w:ascii="Times New Roman" w:eastAsia="Times New Roman" w:hAnsi="Times New Roman" w:cs="Times New Roman"/>
          <w:b/>
          <w:color w:val="231F20"/>
          <w:sz w:val="32"/>
          <w:szCs w:val="32"/>
        </w:rPr>
        <w:t>AOO</w:t>
      </w:r>
    </w:p>
    <w:p w:rsidR="00497635" w:rsidRDefault="00497635">
      <w:pPr>
        <w:ind w:right="-20"/>
        <w:jc w:val="both"/>
        <w:rPr>
          <w:rFonts w:ascii="Times New Roman" w:eastAsia="Times New Roman" w:hAnsi="Times New Roman" w:cs="Times New Roman"/>
          <w:color w:val="231F20"/>
          <w:sz w:val="18"/>
          <w:szCs w:val="18"/>
        </w:rPr>
      </w:pPr>
    </w:p>
    <w:tbl>
      <w:tblPr>
        <w:tblStyle w:val="a"/>
        <w:tblW w:w="8850" w:type="dxa"/>
        <w:tblInd w:w="100" w:type="dxa"/>
        <w:tblBorders>
          <w:top w:val="nil"/>
          <w:left w:val="nil"/>
          <w:bottom w:val="nil"/>
          <w:right w:val="nil"/>
          <w:insideH w:val="nil"/>
          <w:insideV w:val="nil"/>
        </w:tblBorders>
        <w:tblLayout w:type="fixed"/>
        <w:tblLook w:val="0600"/>
      </w:tblPr>
      <w:tblGrid>
        <w:gridCol w:w="4320"/>
        <w:gridCol w:w="4530"/>
      </w:tblGrid>
      <w:tr w:rsidR="00512A5A" w:rsidTr="00600201">
        <w:trPr>
          <w:trHeight w:val="701"/>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Denominazione dell’Amministrazione</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12A5A" w:rsidRPr="00600201" w:rsidRDefault="00600201" w:rsidP="00600201">
            <w:pPr>
              <w:jc w:val="center"/>
              <w:rPr>
                <w:rFonts w:ascii="Times New Roman" w:eastAsia="Times New Roman" w:hAnsi="Times New Roman" w:cs="Times New Roman"/>
                <w:b/>
              </w:rPr>
            </w:pPr>
            <w:r w:rsidRPr="00600201">
              <w:rPr>
                <w:rFonts w:ascii="Times New Roman" w:eastAsia="Times New Roman" w:hAnsi="Times New Roman" w:cs="Times New Roman"/>
                <w:b/>
              </w:rPr>
              <w:t>"ISTITUTO COMPRENSIVO DI RUBIERA"</w:t>
            </w:r>
          </w:p>
        </w:tc>
      </w:tr>
      <w:tr w:rsidR="00512A5A" w:rsidTr="00600201">
        <w:trPr>
          <w:trHeight w:val="75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Pr="00497635" w:rsidRDefault="00600201">
            <w:pPr>
              <w:rPr>
                <w:rFonts w:ascii="Times New Roman" w:eastAsia="Times New Roman" w:hAnsi="Times New Roman" w:cs="Times New Roman"/>
                <w:i/>
              </w:rPr>
            </w:pPr>
            <w:r>
              <w:rPr>
                <w:rFonts w:ascii="Times New Roman" w:eastAsia="Times New Roman" w:hAnsi="Times New Roman" w:cs="Times New Roman"/>
              </w:rPr>
              <w:t>Codice identificativo assegnato all’Amministrazione</w:t>
            </w:r>
            <w:r w:rsidR="00497635">
              <w:rPr>
                <w:rFonts w:ascii="Times New Roman" w:eastAsia="Times New Roman" w:hAnsi="Times New Roman" w:cs="Times New Roman"/>
              </w:rPr>
              <w:t xml:space="preserve"> </w:t>
            </w:r>
            <w:r w:rsidR="00497635">
              <w:rPr>
                <w:rFonts w:ascii="Times New Roman" w:eastAsia="Times New Roman" w:hAnsi="Times New Roman" w:cs="Times New Roman"/>
                <w:i/>
              </w:rPr>
              <w:t>(Codice univoco 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8547BC" w:rsidP="00600201">
            <w:pPr>
              <w:jc w:val="center"/>
              <w:rPr>
                <w:rFonts w:ascii="Times New Roman" w:eastAsia="Times New Roman" w:hAnsi="Times New Roman" w:cs="Times New Roman"/>
              </w:rPr>
            </w:pPr>
            <w:r w:rsidRPr="00912926">
              <w:rPr>
                <w:rFonts w:ascii="Times New Roman" w:eastAsia="Times New Roman" w:hAnsi="Times New Roman" w:cs="Times New Roman"/>
              </w:rPr>
              <w:t>AHXGVCR</w:t>
            </w:r>
          </w:p>
        </w:tc>
      </w:tr>
      <w:tr w:rsidR="00512A5A"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Indirizzo completo della sede principale dell’Amministrazione a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Piazza XXIV maggio, 13, Rubiera -RE-</w:t>
            </w:r>
          </w:p>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RUBIERA (RE)</w:t>
            </w:r>
          </w:p>
        </w:tc>
      </w:tr>
      <w:tr w:rsidR="00512A5A"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Nominativo del Responsabile del Servizio di Protocollo informatico, gestione documentale e archivistica</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8547BC" w:rsidP="00600201">
            <w:pPr>
              <w:jc w:val="center"/>
              <w:rPr>
                <w:rFonts w:ascii="Times New Roman" w:eastAsia="Times New Roman" w:hAnsi="Times New Roman" w:cs="Times New Roman"/>
              </w:rPr>
            </w:pPr>
            <w:r>
              <w:rPr>
                <w:rFonts w:ascii="Times New Roman" w:eastAsia="Times New Roman" w:hAnsi="Times New Roman" w:cs="Times New Roman"/>
              </w:rPr>
              <w:t>Dott.ssa Fiorella Magnani</w:t>
            </w:r>
          </w:p>
        </w:tc>
      </w:tr>
      <w:tr w:rsidR="00512A5A" w:rsidTr="00600201">
        <w:trPr>
          <w:trHeight w:val="806"/>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Casella di posta elettronica istituzionale dell’AOO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BF7ECB" w:rsidP="00600201">
            <w:pPr>
              <w:jc w:val="center"/>
              <w:rPr>
                <w:rFonts w:ascii="Times New Roman" w:eastAsia="Times New Roman" w:hAnsi="Times New Roman" w:cs="Times New Roman"/>
              </w:rPr>
            </w:pPr>
            <w:r>
              <w:rPr>
                <w:rFonts w:ascii="Times New Roman" w:eastAsia="Times New Roman" w:hAnsi="Times New Roman" w:cs="Times New Roman"/>
              </w:rPr>
              <w:t>Reic83600r@istruzione.it</w:t>
            </w:r>
          </w:p>
        </w:tc>
      </w:tr>
      <w:tr w:rsidR="00512A5A" w:rsidTr="00600201">
        <w:trPr>
          <w:trHeight w:val="48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Data di istituzione della 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8547BC" w:rsidP="00600201">
            <w:pPr>
              <w:jc w:val="center"/>
              <w:rPr>
                <w:rFonts w:ascii="Times New Roman" w:eastAsia="Times New Roman" w:hAnsi="Times New Roman" w:cs="Times New Roman"/>
              </w:rPr>
            </w:pPr>
            <w:r>
              <w:rPr>
                <w:rFonts w:ascii="Times New Roman" w:eastAsia="Times New Roman" w:hAnsi="Times New Roman" w:cs="Times New Roman"/>
              </w:rPr>
              <w:t>31/12/2021</w:t>
            </w:r>
          </w:p>
        </w:tc>
      </w:tr>
    </w:tbl>
    <w:p w:rsidR="00512A5A" w:rsidRDefault="00512A5A">
      <w:pPr>
        <w:ind w:right="-20"/>
        <w:jc w:val="both"/>
        <w:rPr>
          <w:rFonts w:ascii="Times New Roman" w:eastAsia="Times New Roman" w:hAnsi="Times New Roman" w:cs="Times New Roman"/>
          <w:sz w:val="32"/>
          <w:szCs w:val="32"/>
        </w:rPr>
      </w:pPr>
    </w:p>
    <w:p w:rsidR="00600201" w:rsidRPr="00600201" w:rsidRDefault="00600201" w:rsidP="00600201">
      <w:pPr>
        <w:ind w:right="-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Sezione </w:t>
      </w:r>
      <w:r w:rsidRPr="00600201">
        <w:rPr>
          <w:rFonts w:ascii="Times New Roman" w:eastAsia="Times New Roman" w:hAnsi="Times New Roman" w:cs="Times New Roman"/>
          <w:b/>
          <w:sz w:val="32"/>
          <w:szCs w:val="32"/>
        </w:rPr>
        <w:t>UOR</w:t>
      </w:r>
    </w:p>
    <w:p w:rsidR="00600201" w:rsidRDefault="00600201">
      <w:pPr>
        <w:ind w:right="-20"/>
        <w:jc w:val="both"/>
        <w:rPr>
          <w:rFonts w:ascii="Times New Roman" w:eastAsia="Times New Roman" w:hAnsi="Times New Roman" w:cs="Times New Roman"/>
          <w:sz w:val="32"/>
          <w:szCs w:val="32"/>
        </w:rPr>
      </w:pPr>
    </w:p>
    <w:tbl>
      <w:tblPr>
        <w:tblW w:w="8850" w:type="dxa"/>
        <w:tblInd w:w="100" w:type="dxa"/>
        <w:tblBorders>
          <w:top w:val="nil"/>
          <w:left w:val="nil"/>
          <w:bottom w:val="nil"/>
          <w:right w:val="nil"/>
          <w:insideH w:val="nil"/>
          <w:insideV w:val="nil"/>
        </w:tblBorders>
        <w:tblLayout w:type="fixed"/>
        <w:tblLook w:val="0600"/>
      </w:tblPr>
      <w:tblGrid>
        <w:gridCol w:w="4320"/>
        <w:gridCol w:w="4530"/>
      </w:tblGrid>
      <w:tr w:rsidR="00497635" w:rsidRPr="00497635" w:rsidTr="00600201">
        <w:trPr>
          <w:trHeight w:val="570"/>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Denominazione dell’UOR</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b/>
              </w:rPr>
            </w:pPr>
            <w:r w:rsidRPr="00600201">
              <w:rPr>
                <w:rFonts w:ascii="Times New Roman" w:eastAsia="Times New Roman" w:hAnsi="Times New Roman" w:cs="Times New Roman"/>
                <w:b/>
              </w:rPr>
              <w:t>Ufficio per la transizione al digitale</w:t>
            </w:r>
          </w:p>
        </w:tc>
      </w:tr>
      <w:tr w:rsidR="00497635" w:rsidRPr="00497635" w:rsidTr="00600201">
        <w:trPr>
          <w:trHeight w:val="48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Codice univoco assegnato all’UOR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43051" w:rsidP="00600201">
            <w:pPr>
              <w:jc w:val="center"/>
              <w:rPr>
                <w:rFonts w:ascii="Times New Roman" w:eastAsia="Times New Roman" w:hAnsi="Times New Roman" w:cs="Times New Roman"/>
                <w:i/>
              </w:rPr>
            </w:pPr>
            <w:r>
              <w:rPr>
                <w:rFonts w:ascii="Times New Roman" w:eastAsia="Times New Roman" w:hAnsi="Times New Roman" w:cs="Times New Roman"/>
                <w:i/>
              </w:rPr>
              <w:t>RHIIFR</w:t>
            </w:r>
          </w:p>
        </w:tc>
      </w:tr>
      <w:tr w:rsidR="00497635" w:rsidRPr="00497635"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Indirizzo completo della sede principale dell’UOR  a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Viale Trastevere 76/a - 00153 Roma (RM)</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i/>
              </w:rPr>
            </w:pPr>
            <w:r w:rsidRPr="00497635">
              <w:rPr>
                <w:rFonts w:ascii="Times New Roman" w:eastAsia="Times New Roman" w:hAnsi="Times New Roman" w:cs="Times New Roman"/>
              </w:rPr>
              <w:t>Codice fiscale FSE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43051" w:rsidP="00600201">
            <w:pPr>
              <w:jc w:val="center"/>
              <w:rPr>
                <w:rFonts w:ascii="Times New Roman" w:eastAsia="Times New Roman" w:hAnsi="Times New Roman" w:cs="Times New Roman"/>
                <w:i/>
              </w:rPr>
            </w:pPr>
            <w:r>
              <w:rPr>
                <w:rFonts w:ascii="Times New Roman" w:eastAsia="Times New Roman" w:hAnsi="Times New Roman" w:cs="Times New Roman"/>
                <w:i/>
              </w:rPr>
              <w:t>-</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Codice fiscale NSO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43051" w:rsidP="00600201">
            <w:pPr>
              <w:jc w:val="center"/>
              <w:rPr>
                <w:rFonts w:ascii="Times New Roman" w:eastAsia="Times New Roman" w:hAnsi="Times New Roman" w:cs="Times New Roman"/>
                <w:i/>
              </w:rPr>
            </w:pPr>
            <w:r>
              <w:rPr>
                <w:rFonts w:ascii="Times New Roman" w:eastAsia="Times New Roman" w:hAnsi="Times New Roman" w:cs="Times New Roman"/>
                <w:i/>
              </w:rPr>
              <w:t>-</w:t>
            </w:r>
          </w:p>
        </w:tc>
      </w:tr>
      <w:tr w:rsidR="00497635" w:rsidRPr="00497635" w:rsidTr="00600201">
        <w:trPr>
          <w:trHeight w:val="54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lastRenderedPageBreak/>
              <w:t xml:space="preserve">Nominativo del Responsabile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Ministero dell'istruzione RTD</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Casella di posta dell’UOR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hAnsi="Times New Roman" w:cs="Times New Roman"/>
                <w:color w:val="202124"/>
                <w:shd w:val="clear" w:color="auto" w:fill="FFFFFF"/>
              </w:rPr>
              <w:t>rtd@istruzione.it</w:t>
            </w:r>
          </w:p>
        </w:tc>
      </w:tr>
    </w:tbl>
    <w:p w:rsidR="00497635" w:rsidRDefault="00497635">
      <w:pPr>
        <w:spacing w:before="240" w:after="240"/>
        <w:jc w:val="center"/>
        <w:rPr>
          <w:rFonts w:ascii="Times New Roman" w:eastAsia="Times New Roman" w:hAnsi="Times New Roman" w:cs="Times New Roman"/>
          <w:i/>
          <w:sz w:val="32"/>
          <w:szCs w:val="32"/>
        </w:rPr>
      </w:pPr>
    </w:p>
    <w:p w:rsidR="00512A5A" w:rsidRDefault="00600201">
      <w:pPr>
        <w:spacing w:before="240" w:after="240"/>
        <w:jc w:val="center"/>
        <w:rPr>
          <w:rFonts w:ascii="Times New Roman" w:eastAsia="Times New Roman" w:hAnsi="Times New Roman" w:cs="Times New Roman"/>
          <w:color w:val="231F20"/>
          <w:sz w:val="14"/>
          <w:szCs w:val="14"/>
        </w:rPr>
      </w:pPr>
      <w:r>
        <w:rPr>
          <w:rFonts w:ascii="Times New Roman" w:eastAsia="Times New Roman" w:hAnsi="Times New Roman" w:cs="Times New Roman"/>
          <w:i/>
          <w:sz w:val="32"/>
          <w:szCs w:val="32"/>
        </w:rPr>
        <w:br/>
      </w:r>
      <w:r>
        <w:rPr>
          <w:rFonts w:ascii="Times New Roman" w:eastAsia="Times New Roman" w:hAnsi="Times New Roman" w:cs="Times New Roman"/>
          <w:i/>
          <w:sz w:val="28"/>
          <w:szCs w:val="28"/>
        </w:rPr>
        <w:t>Da compilare secondo necessità per ogni ulteriore UOR</w:t>
      </w:r>
      <w:r w:rsidR="001749E9">
        <w:rPr>
          <w:rFonts w:ascii="Times New Roman" w:eastAsia="Times New Roman" w:hAnsi="Times New Roman" w:cs="Times New Roman"/>
          <w:i/>
          <w:sz w:val="28"/>
          <w:szCs w:val="28"/>
        </w:rPr>
        <w:t xml:space="preserve"> (eventuale Ufficio Fatturazione o altre UOR indicate all’interno di IndicePA</w:t>
      </w:r>
      <w:bookmarkStart w:id="0" w:name="_GoBack"/>
      <w:bookmarkEnd w:id="0"/>
      <w:r w:rsidR="001749E9">
        <w:rPr>
          <w:rFonts w:ascii="Times New Roman" w:eastAsia="Times New Roman" w:hAnsi="Times New Roman" w:cs="Times New Roman"/>
          <w:i/>
          <w:sz w:val="28"/>
          <w:szCs w:val="28"/>
        </w:rPr>
        <w:t>)</w:t>
      </w:r>
    </w:p>
    <w:tbl>
      <w:tblPr>
        <w:tblStyle w:val="a0"/>
        <w:tblW w:w="8850" w:type="dxa"/>
        <w:tblInd w:w="100" w:type="dxa"/>
        <w:tblBorders>
          <w:top w:val="nil"/>
          <w:left w:val="nil"/>
          <w:bottom w:val="nil"/>
          <w:right w:val="nil"/>
          <w:insideH w:val="nil"/>
          <w:insideV w:val="nil"/>
        </w:tblBorders>
        <w:tblLayout w:type="fixed"/>
        <w:tblLook w:val="0600"/>
      </w:tblPr>
      <w:tblGrid>
        <w:gridCol w:w="4320"/>
        <w:gridCol w:w="4530"/>
      </w:tblGrid>
      <w:tr w:rsidR="00600201" w:rsidTr="00600201">
        <w:trPr>
          <w:trHeight w:val="570"/>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Denominazione dell’UOR</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43051" w:rsidP="00600201">
            <w:pPr>
              <w:jc w:val="center"/>
              <w:rPr>
                <w:rFonts w:ascii="Times New Roman" w:eastAsia="Times New Roman" w:hAnsi="Times New Roman" w:cs="Times New Roman"/>
                <w:i/>
              </w:rPr>
            </w:pPr>
            <w:r w:rsidRPr="00600201">
              <w:rPr>
                <w:rFonts w:ascii="Times New Roman" w:eastAsia="Times New Roman" w:hAnsi="Times New Roman" w:cs="Times New Roman"/>
                <w:b/>
              </w:rPr>
              <w:t>Ufficio per la transizione al digitale</w:t>
            </w:r>
          </w:p>
        </w:tc>
      </w:tr>
      <w:tr w:rsidR="00600201" w:rsidTr="00600201">
        <w:trPr>
          <w:trHeight w:val="48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Codice univoco assegnato all’UOR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43051" w:rsidP="00600201">
            <w:pPr>
              <w:jc w:val="center"/>
              <w:rPr>
                <w:rFonts w:ascii="Times New Roman" w:eastAsia="Times New Roman" w:hAnsi="Times New Roman" w:cs="Times New Roman"/>
                <w:i/>
              </w:rPr>
            </w:pPr>
            <w:r>
              <w:rPr>
                <w:rFonts w:ascii="Times New Roman" w:eastAsia="Times New Roman" w:hAnsi="Times New Roman" w:cs="Times New Roman"/>
                <w:i/>
              </w:rPr>
              <w:t>RHIIFR</w:t>
            </w:r>
          </w:p>
        </w:tc>
      </w:tr>
      <w:tr w:rsidR="00600201"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Indirizzo completo della sede principale dell’UOR  a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Piazza XXIV maggio, 13, Rubiera -RE-</w:t>
            </w:r>
          </w:p>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rPr>
              <w:t>RUBIERA (RE)</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Pr="00497635" w:rsidRDefault="00600201" w:rsidP="00497635">
            <w:pPr>
              <w:rPr>
                <w:rFonts w:ascii="Times New Roman" w:eastAsia="Times New Roman" w:hAnsi="Times New Roman" w:cs="Times New Roman"/>
                <w:i/>
              </w:rPr>
            </w:pPr>
            <w:r>
              <w:rPr>
                <w:rFonts w:ascii="Times New Roman" w:eastAsia="Times New Roman" w:hAnsi="Times New Roman" w:cs="Times New Roman"/>
              </w:rPr>
              <w:t>Codice fiscale FSE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8547BC" w:rsidP="00600201">
            <w:pPr>
              <w:jc w:val="center"/>
              <w:rPr>
                <w:rFonts w:ascii="Times New Roman" w:eastAsia="Times New Roman" w:hAnsi="Times New Roman" w:cs="Times New Roman"/>
                <w:i/>
              </w:rPr>
            </w:pPr>
            <w:r>
              <w:rPr>
                <w:rFonts w:ascii="Times New Roman" w:eastAsia="Times New Roman" w:hAnsi="Times New Roman" w:cs="Times New Roman"/>
                <w:i/>
              </w:rPr>
              <w:t>-</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Codice fiscale NSO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8547BC" w:rsidP="00600201">
            <w:pPr>
              <w:jc w:val="center"/>
              <w:rPr>
                <w:rFonts w:ascii="Times New Roman" w:eastAsia="Times New Roman" w:hAnsi="Times New Roman" w:cs="Times New Roman"/>
                <w:i/>
              </w:rPr>
            </w:pPr>
            <w:r>
              <w:rPr>
                <w:rFonts w:ascii="Times New Roman" w:eastAsia="Times New Roman" w:hAnsi="Times New Roman" w:cs="Times New Roman"/>
                <w:i/>
              </w:rPr>
              <w:t>-</w:t>
            </w:r>
          </w:p>
        </w:tc>
      </w:tr>
      <w:tr w:rsidR="00600201" w:rsidTr="00600201">
        <w:trPr>
          <w:trHeight w:val="54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 xml:space="preserve">Nominativo del Responsabile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43051" w:rsidP="00643051">
            <w:pPr>
              <w:jc w:val="center"/>
              <w:rPr>
                <w:rFonts w:ascii="Times New Roman" w:eastAsia="Times New Roman" w:hAnsi="Times New Roman" w:cs="Times New Roman"/>
                <w:i/>
              </w:rPr>
            </w:pPr>
            <w:r>
              <w:rPr>
                <w:rFonts w:ascii="Times New Roman" w:eastAsia="Times New Roman" w:hAnsi="Times New Roman" w:cs="Times New Roman"/>
                <w:i/>
              </w:rPr>
              <w:t>FIORELLA MAGNANI</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Casella di posta dell’UOR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8547BC" w:rsidP="00600201">
            <w:pPr>
              <w:jc w:val="center"/>
              <w:rPr>
                <w:rFonts w:ascii="Times New Roman" w:eastAsia="Times New Roman" w:hAnsi="Times New Roman" w:cs="Times New Roman"/>
              </w:rPr>
            </w:pPr>
            <w:r>
              <w:rPr>
                <w:rFonts w:ascii="Times New Roman" w:eastAsia="Times New Roman" w:hAnsi="Times New Roman" w:cs="Times New Roman"/>
              </w:rPr>
              <w:t>-</w:t>
            </w:r>
          </w:p>
        </w:tc>
      </w:tr>
    </w:tbl>
    <w:p w:rsidR="00512A5A" w:rsidRDefault="00600201">
      <w:pPr>
        <w:spacing w:before="240" w:after="240"/>
        <w:jc w:val="center"/>
        <w:rPr>
          <w:rFonts w:ascii="Times New Roman" w:eastAsia="Times New Roman" w:hAnsi="Times New Roman" w:cs="Times New Roman"/>
          <w:sz w:val="32"/>
          <w:szCs w:val="32"/>
        </w:rPr>
      </w:pPr>
      <w:r>
        <w:br w:type="page"/>
      </w:r>
    </w:p>
    <w:p w:rsidR="00512A5A" w:rsidRDefault="00512A5A">
      <w:pPr>
        <w:spacing w:before="240" w:after="240"/>
        <w:jc w:val="center"/>
        <w:rPr>
          <w:rFonts w:ascii="Times New Roman" w:eastAsia="Times New Roman" w:hAnsi="Times New Roman" w:cs="Times New Roman"/>
          <w:sz w:val="32"/>
          <w:szCs w:val="32"/>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 xml:space="preserve">7.2 </w:t>
      </w:r>
      <w:proofErr w:type="spellStart"/>
      <w:r>
        <w:rPr>
          <w:rFonts w:ascii="Times New Roman" w:eastAsia="Times New Roman" w:hAnsi="Times New Roman" w:cs="Times New Roman"/>
          <w:b/>
          <w:color w:val="0066B3"/>
          <w:sz w:val="36"/>
          <w:szCs w:val="36"/>
        </w:rPr>
        <w:t>Titolario</w:t>
      </w:r>
      <w:proofErr w:type="spellEnd"/>
      <w:r>
        <w:rPr>
          <w:rFonts w:ascii="Times New Roman" w:eastAsia="Times New Roman" w:hAnsi="Times New Roman" w:cs="Times New Roman"/>
          <w:b/>
          <w:color w:val="0066B3"/>
          <w:sz w:val="36"/>
          <w:szCs w:val="36"/>
        </w:rPr>
        <w:t xml:space="preserve"> unico di classificazione</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 AMMINISTRAZIONE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I.1 Normativa e disposizioni attuative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I.2 Organigramma e </w:t>
      </w:r>
      <w:proofErr w:type="spellStart"/>
      <w:r>
        <w:rPr>
          <w:rFonts w:ascii="Times New Roman" w:eastAsia="Times New Roman" w:hAnsi="Times New Roman" w:cs="Times New Roman"/>
          <w:color w:val="231F20"/>
        </w:rPr>
        <w:t>funzionigramma</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I.3 Statistica e sicurezza di dati e informazioni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I.4 Archivio, accesso, privacy, trasparenza e relazioni con il pubblico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I.5 Registri e repertori di carattere generale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I.6 Audit, qualità, carta dei servizi, valutazione e autovalutazione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I.7 Elezioni e nomine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I.8 Eventi, cerimoniale, patrocini, concorsi, editoria e stampa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II ORGANI E ORGANISMI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 Consiglio di istituto, Consiglio di circolo e Consiglio di Amministrazione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II.2 Consiglio di classe e di interclasse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II.3 Collegio dei docenti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II.4 Giunta esecutiva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II.5 Dirigente scolastico DS</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II.6 Direttore dei servizi generali e amministrativi DSGA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II.7 Comitato di valutazione del servizio dei docenti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II.8 Comitato dei genitori, Comitato studentesco e rapporti scuola-famiglia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II.9 Reti scolastiche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II.10 Rapporti sindacali, contrattazione e Rappresentanza sindacale unitaria (RSU)</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II.11 Commissioni e gruppi di lavoro</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III ATTIVITÀ GIURIDICO-LEGALE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III.1 Contenzioso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III.2 Violazioni amministrative e reati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III.3 Responsabilità civile, penale e amm.va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III.4 Pareri e consulenze</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IV DIDATTICA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IV.1 Piano triennale dell’offerta formativa PTOF</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IV.2 Attività extracurricolari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IV.3 Registro di classe, dei docenti e dei profili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IV.4 Libri di testo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IV.5 Progetti e materiali didattici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IV.6 Viaggi di istruzione, scambi, stage e tirocini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IV.7 Biblioteca, emeroteca, videoteca e sussidi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IV.8 Salute e prevenzione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IV.9 Attività sportivo‐ricreative e rapporti con il Centro Scolastico Sportivo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IV.10 Elaborati e prospetti scrutini</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 STUDENTI E DIPLOMATI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V.1 Orientamento e </w:t>
      </w:r>
      <w:proofErr w:type="spellStart"/>
      <w:r>
        <w:rPr>
          <w:rFonts w:ascii="Times New Roman" w:eastAsia="Times New Roman" w:hAnsi="Times New Roman" w:cs="Times New Roman"/>
          <w:color w:val="231F20"/>
        </w:rPr>
        <w:t>placement</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V.2 Ammissioni e iscrizioni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V.3 Anagrafe studenti e formazione delle classi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V.4 Cursus </w:t>
      </w:r>
      <w:proofErr w:type="spellStart"/>
      <w:r>
        <w:rPr>
          <w:rFonts w:ascii="Times New Roman" w:eastAsia="Times New Roman" w:hAnsi="Times New Roman" w:cs="Times New Roman"/>
          <w:color w:val="231F20"/>
        </w:rPr>
        <w:t>studiorum</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V.5 Procedimenti disciplinari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V.6 Diritto allo studio e servizi agli studenti (trasporti, mensa, buoni libro, etc.)</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V.7 Tutela della salute e farmaci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V.8 Esoneri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V.9 </w:t>
      </w:r>
      <w:proofErr w:type="spellStart"/>
      <w:r>
        <w:rPr>
          <w:rFonts w:ascii="Times New Roman" w:eastAsia="Times New Roman" w:hAnsi="Times New Roman" w:cs="Times New Roman"/>
          <w:color w:val="231F20"/>
        </w:rPr>
        <w:t>Prescuola</w:t>
      </w:r>
      <w:proofErr w:type="spellEnd"/>
      <w:r>
        <w:rPr>
          <w:rFonts w:ascii="Times New Roman" w:eastAsia="Times New Roman" w:hAnsi="Times New Roman" w:cs="Times New Roman"/>
          <w:color w:val="231F20"/>
        </w:rPr>
        <w:t xml:space="preserve"> e attività parascolastiche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V.10 Disagio e diverse abilità – DSA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VI FINANZA E PATRIMONIO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 Entrate e finanziamenti del progetto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VI.2 Uscite e piani di spesa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VI.3 Bilancio, tesoreria, cassa, istituti di credito e verifiche contabili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VI.4 Imposte, tasse, ritenute previdenziali e assistenziali, denunce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VI.5 Assicurazioni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VI.6 Utilizzo beni terzi, comodato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VI.7 Inventario e rendiconto patrimoniale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VI.8 Infrastrutture e logistica (plessi, succursali)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VI.9 DVR e sicurezza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VI.10 Beni mobili e servizi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VI.11 Sistemi informatici, telematici e fonia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VII PERSONALE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VII.1 Organici, lavoratori socialmente utili, graduatorie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VII.2 Carriera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VII.3 Trattamento giuridico‐economico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VII.4 Assenze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VII.5 Formazione, aggiornamento e sviluppo professionale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VII.6 Obiettivi, incarichi, valutazione e disciplina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VII.7 Sorveglianza sanitaria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VII.8 Collaboratori esterni</w:t>
      </w:r>
    </w:p>
    <w:p w:rsidR="00512A5A" w:rsidRDefault="00512A5A">
      <w:pPr>
        <w:spacing w:before="240" w:after="240"/>
        <w:rPr>
          <w:rFonts w:ascii="Times New Roman" w:eastAsia="Times New Roman" w:hAnsi="Times New Roman" w:cs="Times New Roman"/>
          <w:b/>
          <w:color w:val="0066B3"/>
          <w:sz w:val="36"/>
          <w:szCs w:val="36"/>
        </w:rPr>
      </w:pPr>
    </w:p>
    <w:p w:rsidR="00512A5A" w:rsidRDefault="00512A5A">
      <w:pPr>
        <w:spacing w:before="240" w:after="240"/>
        <w:rPr>
          <w:rFonts w:ascii="Times New Roman" w:eastAsia="Times New Roman" w:hAnsi="Times New Roman" w:cs="Times New Roman"/>
          <w:b/>
          <w:color w:val="0066B3"/>
          <w:sz w:val="36"/>
          <w:szCs w:val="36"/>
        </w:rPr>
      </w:pP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7.3 Piano di organizzazione delle aggregazioni documentali</w:t>
      </w:r>
    </w:p>
    <w:p w:rsidR="00512A5A" w:rsidRDefault="00600201">
      <w:pPr>
        <w:spacing w:after="360" w:line="259" w:lineRule="auto"/>
        <w:rPr>
          <w:rFonts w:ascii="Times New Roman" w:eastAsia="Times New Roman" w:hAnsi="Times New Roman" w:cs="Times New Roman"/>
          <w:b/>
          <w:smallCaps/>
          <w:color w:val="002060"/>
          <w:sz w:val="24"/>
          <w:szCs w:val="24"/>
        </w:rPr>
      </w:pPr>
      <w:bookmarkStart w:id="1" w:name="_gjdgxs" w:colFirst="0" w:colLast="0"/>
      <w:bookmarkEnd w:id="1"/>
      <w:r>
        <w:rPr>
          <w:rFonts w:ascii="Times New Roman" w:eastAsia="Times New Roman" w:hAnsi="Times New Roman" w:cs="Times New Roman"/>
          <w:b/>
          <w:smallCaps/>
          <w:color w:val="002060"/>
          <w:sz w:val="24"/>
          <w:szCs w:val="24"/>
        </w:rPr>
        <w:t>MASSIMARIO DI CONSERVAZIONE E SCARTO PER LE ISTITUZIONI SCOLASTICHE</w:t>
      </w:r>
    </w:p>
    <w:p w:rsidR="00512A5A" w:rsidRDefault="00600201">
      <w:pPr>
        <w:tabs>
          <w:tab w:val="left" w:pos="2947"/>
        </w:tabs>
        <w:spacing w:after="160" w:line="240" w:lineRule="auto"/>
        <w:rPr>
          <w:rFonts w:ascii="Times New Roman" w:eastAsia="Times New Roman" w:hAnsi="Times New Roman" w:cs="Times New Roman"/>
          <w:b/>
          <w:smallCaps/>
          <w:color w:val="002060"/>
          <w:sz w:val="24"/>
          <w:szCs w:val="24"/>
        </w:rPr>
      </w:pPr>
      <w:r>
        <w:rPr>
          <w:rFonts w:ascii="Times New Roman" w:eastAsia="Times New Roman" w:hAnsi="Times New Roman" w:cs="Times New Roman"/>
          <w:b/>
          <w:smallCaps/>
          <w:color w:val="002060"/>
          <w:sz w:val="24"/>
          <w:szCs w:val="24"/>
        </w:rPr>
        <w:t>Struttura del massimario</w:t>
      </w:r>
    </w:p>
    <w:p w:rsidR="00512A5A" w:rsidRDefault="00600201">
      <w:pPr>
        <w:tabs>
          <w:tab w:val="left" w:pos="2947"/>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Al fine di garantire l’integrazione del massimario con il sistema di classificazione, la struttura del massimario si articola su tre livelli: il primo e il secondo livello corrispondono rispettivamente al titolo (I livello) e alla classe (II livello) del </w:t>
      </w:r>
      <w:proofErr w:type="spellStart"/>
      <w:r>
        <w:rPr>
          <w:rFonts w:ascii="Times New Roman" w:eastAsia="Times New Roman" w:hAnsi="Times New Roman" w:cs="Times New Roman"/>
        </w:rPr>
        <w:t>titolario</w:t>
      </w:r>
      <w:proofErr w:type="spellEnd"/>
      <w:r>
        <w:rPr>
          <w:rFonts w:ascii="Times New Roman" w:eastAsia="Times New Roman" w:hAnsi="Times New Roman" w:cs="Times New Roman"/>
        </w:rPr>
        <w:t xml:space="preserve"> di classificazione. Il terzo livello definisce le tipologie documentarie associate a ciascuna classe; per ciascuna tipologia documentaria sono fornite indicazioni in merito ai tempi di conservazione. </w:t>
      </w:r>
    </w:p>
    <w:p w:rsidR="00512A5A" w:rsidRDefault="00600201">
      <w:pPr>
        <w:tabs>
          <w:tab w:val="left" w:pos="2947"/>
        </w:tabs>
        <w:spacing w:before="120" w:after="360" w:line="240" w:lineRule="auto"/>
        <w:jc w:val="both"/>
        <w:rPr>
          <w:rFonts w:ascii="Times New Roman" w:eastAsia="Times New Roman" w:hAnsi="Times New Roman" w:cs="Times New Roman"/>
          <w:b/>
          <w:smallCaps/>
          <w:color w:val="002060"/>
          <w:sz w:val="28"/>
          <w:szCs w:val="28"/>
        </w:rPr>
      </w:pPr>
      <w:r>
        <w:rPr>
          <w:rFonts w:ascii="Times New Roman" w:eastAsia="Times New Roman" w:hAnsi="Times New Roman" w:cs="Times New Roman"/>
        </w:rPr>
        <w:t xml:space="preserve">Ciò premesso, al fine di agevolare la consultazione del documento, si riporta di seguito la struttura del massimario. </w:t>
      </w:r>
    </w:p>
    <w:p w:rsidR="00512A5A" w:rsidRDefault="00600201">
      <w:pPr>
        <w:pStyle w:val="Titolo1"/>
        <w:spacing w:before="0" w:after="0" w:line="360" w:lineRule="auto"/>
        <w:rPr>
          <w:rFonts w:ascii="Times New Roman" w:eastAsia="Times New Roman" w:hAnsi="Times New Roman" w:cs="Times New Roman"/>
          <w:b/>
          <w:sz w:val="12"/>
          <w:szCs w:val="12"/>
        </w:rPr>
      </w:pPr>
      <w:r>
        <w:rPr>
          <w:rFonts w:ascii="Times New Roman" w:eastAsia="Times New Roman" w:hAnsi="Times New Roman" w:cs="Times New Roman"/>
          <w:b/>
          <w:sz w:val="20"/>
          <w:szCs w:val="20"/>
        </w:rPr>
        <w:t>I.</w:t>
      </w:r>
      <w:r>
        <w:rPr>
          <w:rFonts w:ascii="Times New Roman" w:eastAsia="Times New Roman" w:hAnsi="Times New Roman" w:cs="Times New Roman"/>
          <w:b/>
          <w:sz w:val="12"/>
          <w:szCs w:val="12"/>
        </w:rPr>
        <w:tab/>
      </w:r>
      <w:r>
        <w:rPr>
          <w:rFonts w:ascii="Times New Roman" w:eastAsia="Times New Roman" w:hAnsi="Times New Roman" w:cs="Times New Roman"/>
          <w:b/>
          <w:sz w:val="20"/>
          <w:szCs w:val="20"/>
        </w:rPr>
        <w:t>AMMINISTRAZIONE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I.1</w:t>
      </w:r>
      <w:r>
        <w:rPr>
          <w:rFonts w:ascii="Times New Roman" w:eastAsia="Times New Roman" w:hAnsi="Times New Roman" w:cs="Times New Roman"/>
          <w:sz w:val="18"/>
          <w:szCs w:val="18"/>
        </w:rPr>
        <w:tab/>
        <w:t>Normativa e disposizioni attuative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I.2</w:t>
      </w:r>
      <w:r>
        <w:rPr>
          <w:rFonts w:ascii="Times New Roman" w:eastAsia="Times New Roman" w:hAnsi="Times New Roman" w:cs="Times New Roman"/>
          <w:sz w:val="18"/>
          <w:szCs w:val="18"/>
        </w:rPr>
        <w:tab/>
        <w:t xml:space="preserve">Organigramma e </w:t>
      </w:r>
      <w:proofErr w:type="spellStart"/>
      <w:r>
        <w:rPr>
          <w:rFonts w:ascii="Times New Roman" w:eastAsia="Times New Roman" w:hAnsi="Times New Roman" w:cs="Times New Roman"/>
          <w:sz w:val="18"/>
          <w:szCs w:val="18"/>
        </w:rPr>
        <w:t>funzionigramma</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I.3</w:t>
      </w:r>
      <w:r>
        <w:rPr>
          <w:rFonts w:ascii="Times New Roman" w:eastAsia="Times New Roman" w:hAnsi="Times New Roman" w:cs="Times New Roman"/>
          <w:sz w:val="18"/>
          <w:szCs w:val="18"/>
        </w:rPr>
        <w:tab/>
        <w:t>Statistica e sicurezza di dati e informazioni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I.4</w:t>
      </w:r>
      <w:r>
        <w:rPr>
          <w:rFonts w:ascii="Times New Roman" w:eastAsia="Times New Roman" w:hAnsi="Times New Roman" w:cs="Times New Roman"/>
          <w:sz w:val="18"/>
          <w:szCs w:val="18"/>
        </w:rPr>
        <w:tab/>
        <w:t>Archivio, accesso, privacy, trasparenza e relazioni con il pubblico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I.5</w:t>
      </w:r>
      <w:r>
        <w:rPr>
          <w:rFonts w:ascii="Times New Roman" w:eastAsia="Times New Roman" w:hAnsi="Times New Roman" w:cs="Times New Roman"/>
          <w:sz w:val="18"/>
          <w:szCs w:val="18"/>
        </w:rPr>
        <w:tab/>
        <w:t>Registri e repertori di carattere generale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I.6</w:t>
      </w:r>
      <w:r>
        <w:rPr>
          <w:rFonts w:ascii="Times New Roman" w:eastAsia="Times New Roman" w:hAnsi="Times New Roman" w:cs="Times New Roman"/>
          <w:sz w:val="18"/>
          <w:szCs w:val="18"/>
        </w:rPr>
        <w:tab/>
        <w:t>Audit, qualità, carta dei servizi, valutazione e autovalutazione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I.7</w:t>
      </w:r>
      <w:r>
        <w:rPr>
          <w:rFonts w:ascii="Times New Roman" w:eastAsia="Times New Roman" w:hAnsi="Times New Roman" w:cs="Times New Roman"/>
          <w:sz w:val="18"/>
          <w:szCs w:val="18"/>
        </w:rPr>
        <w:tab/>
        <w:t>Elezioni e nomine</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I.8</w:t>
      </w:r>
      <w:r>
        <w:rPr>
          <w:rFonts w:ascii="Times New Roman" w:eastAsia="Times New Roman" w:hAnsi="Times New Roman" w:cs="Times New Roman"/>
          <w:sz w:val="18"/>
          <w:szCs w:val="18"/>
        </w:rPr>
        <w:tab/>
        <w:t>Eventi, cerimoniale, patrocini, concorsi, editoria e stampa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Pr>
          <w:rFonts w:ascii="Times New Roman" w:eastAsia="Times New Roman" w:hAnsi="Times New Roman" w:cs="Times New Roman"/>
          <w:b/>
          <w:sz w:val="20"/>
          <w:szCs w:val="20"/>
        </w:rPr>
        <w:tab/>
        <w:t>ORGANI E ORGANISMI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w:t>
      </w:r>
      <w:r>
        <w:rPr>
          <w:rFonts w:ascii="Times New Roman" w:eastAsia="Times New Roman" w:hAnsi="Times New Roman" w:cs="Times New Roman"/>
          <w:sz w:val="18"/>
          <w:szCs w:val="18"/>
        </w:rPr>
        <w:tab/>
        <w:t>Consiglio di istituto, Consiglio di circolo e Consiglio di Amministrazione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II.2</w:t>
      </w:r>
      <w:r>
        <w:rPr>
          <w:rFonts w:ascii="Times New Roman" w:eastAsia="Times New Roman" w:hAnsi="Times New Roman" w:cs="Times New Roman"/>
          <w:sz w:val="18"/>
          <w:szCs w:val="18"/>
        </w:rPr>
        <w:tab/>
        <w:t>Consiglio di classe e di interclasse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II.3</w:t>
      </w:r>
      <w:r>
        <w:rPr>
          <w:rFonts w:ascii="Times New Roman" w:eastAsia="Times New Roman" w:hAnsi="Times New Roman" w:cs="Times New Roman"/>
          <w:sz w:val="18"/>
          <w:szCs w:val="18"/>
        </w:rPr>
        <w:tab/>
        <w:t>Collegio dei docenti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II.4</w:t>
      </w:r>
      <w:r>
        <w:rPr>
          <w:rFonts w:ascii="Times New Roman" w:eastAsia="Times New Roman" w:hAnsi="Times New Roman" w:cs="Times New Roman"/>
          <w:sz w:val="18"/>
          <w:szCs w:val="18"/>
        </w:rPr>
        <w:tab/>
        <w:t>Giunta esecutiva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II.5</w:t>
      </w:r>
      <w:r>
        <w:rPr>
          <w:rFonts w:ascii="Times New Roman" w:eastAsia="Times New Roman" w:hAnsi="Times New Roman" w:cs="Times New Roman"/>
          <w:sz w:val="18"/>
          <w:szCs w:val="18"/>
        </w:rPr>
        <w:tab/>
        <w:t>Dirigente scolastico DS</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II.6</w:t>
      </w:r>
      <w:r>
        <w:rPr>
          <w:rFonts w:ascii="Times New Roman" w:eastAsia="Times New Roman" w:hAnsi="Times New Roman" w:cs="Times New Roman"/>
          <w:sz w:val="18"/>
          <w:szCs w:val="18"/>
        </w:rPr>
        <w:tab/>
        <w:t>Direttore dei servizi generali e amministrativi DSGA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II.7</w:t>
      </w:r>
      <w:r>
        <w:rPr>
          <w:rFonts w:ascii="Times New Roman" w:eastAsia="Times New Roman" w:hAnsi="Times New Roman" w:cs="Times New Roman"/>
          <w:sz w:val="18"/>
          <w:szCs w:val="18"/>
        </w:rPr>
        <w:tab/>
        <w:t>Comitato di valutazione del servizio dei docenti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II.8</w:t>
      </w:r>
      <w:r>
        <w:rPr>
          <w:rFonts w:ascii="Times New Roman" w:eastAsia="Times New Roman" w:hAnsi="Times New Roman" w:cs="Times New Roman"/>
          <w:sz w:val="18"/>
          <w:szCs w:val="18"/>
        </w:rPr>
        <w:tab/>
        <w:t>Comitato dei genitori, Comitato studentesco e rapporti scuola-famiglia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II.9</w:t>
      </w:r>
      <w:r>
        <w:rPr>
          <w:rFonts w:ascii="Times New Roman" w:eastAsia="Times New Roman" w:hAnsi="Times New Roman" w:cs="Times New Roman"/>
          <w:sz w:val="18"/>
          <w:szCs w:val="18"/>
        </w:rPr>
        <w:tab/>
        <w:t>Reti scolastiche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II.10</w:t>
      </w:r>
      <w:r>
        <w:rPr>
          <w:rFonts w:ascii="Times New Roman" w:eastAsia="Times New Roman" w:hAnsi="Times New Roman" w:cs="Times New Roman"/>
          <w:sz w:val="18"/>
          <w:szCs w:val="18"/>
        </w:rPr>
        <w:tab/>
        <w:t>Rapporti sindacali, contrattazione e Rappresentanza sindacale unitaria (RSU)</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II.11</w:t>
      </w:r>
      <w:r>
        <w:rPr>
          <w:rFonts w:ascii="Times New Roman" w:eastAsia="Times New Roman" w:hAnsi="Times New Roman" w:cs="Times New Roman"/>
          <w:sz w:val="18"/>
          <w:szCs w:val="18"/>
        </w:rPr>
        <w:tab/>
        <w:t>Commissioni e gruppi di lavoro</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Pr>
          <w:rFonts w:ascii="Times New Roman" w:eastAsia="Times New Roman" w:hAnsi="Times New Roman" w:cs="Times New Roman"/>
          <w:b/>
          <w:sz w:val="20"/>
          <w:szCs w:val="20"/>
        </w:rPr>
        <w:tab/>
        <w:t>ATTIVITÀ GIURIDICO-LEGALE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III.1</w:t>
      </w:r>
      <w:r>
        <w:rPr>
          <w:rFonts w:ascii="Times New Roman" w:eastAsia="Times New Roman" w:hAnsi="Times New Roman" w:cs="Times New Roman"/>
          <w:sz w:val="18"/>
          <w:szCs w:val="18"/>
        </w:rPr>
        <w:tab/>
        <w:t>Contenzioso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III.2</w:t>
      </w:r>
      <w:r>
        <w:rPr>
          <w:rFonts w:ascii="Times New Roman" w:eastAsia="Times New Roman" w:hAnsi="Times New Roman" w:cs="Times New Roman"/>
          <w:sz w:val="18"/>
          <w:szCs w:val="18"/>
        </w:rPr>
        <w:tab/>
        <w:t>Violazioni amministrative e reati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III.3</w:t>
      </w:r>
      <w:r>
        <w:rPr>
          <w:rFonts w:ascii="Times New Roman" w:eastAsia="Times New Roman" w:hAnsi="Times New Roman" w:cs="Times New Roman"/>
          <w:sz w:val="18"/>
          <w:szCs w:val="18"/>
        </w:rPr>
        <w:tab/>
        <w:t>Responsabilità civile, penale e amm.va</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III.4</w:t>
      </w:r>
      <w:r>
        <w:rPr>
          <w:rFonts w:ascii="Times New Roman" w:eastAsia="Times New Roman" w:hAnsi="Times New Roman" w:cs="Times New Roman"/>
          <w:sz w:val="18"/>
          <w:szCs w:val="18"/>
        </w:rPr>
        <w:tab/>
        <w:t>Pareri e consulenze</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Pr>
          <w:rFonts w:ascii="Times New Roman" w:eastAsia="Times New Roman" w:hAnsi="Times New Roman" w:cs="Times New Roman"/>
          <w:b/>
          <w:sz w:val="20"/>
          <w:szCs w:val="20"/>
        </w:rPr>
        <w:tab/>
        <w:t>DIDATTICA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w:t>
      </w:r>
      <w:r>
        <w:rPr>
          <w:rFonts w:ascii="Times New Roman" w:eastAsia="Times New Roman" w:hAnsi="Times New Roman" w:cs="Times New Roman"/>
          <w:sz w:val="18"/>
          <w:szCs w:val="18"/>
        </w:rPr>
        <w:tab/>
        <w:t>Piano triennale dell’offerta formativa PTOF</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IV.2</w:t>
      </w:r>
      <w:r>
        <w:rPr>
          <w:rFonts w:ascii="Times New Roman" w:eastAsia="Times New Roman" w:hAnsi="Times New Roman" w:cs="Times New Roman"/>
          <w:sz w:val="18"/>
          <w:szCs w:val="18"/>
        </w:rPr>
        <w:tab/>
        <w:t>Attività extracurricolari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IV.3</w:t>
      </w:r>
      <w:r>
        <w:rPr>
          <w:rFonts w:ascii="Times New Roman" w:eastAsia="Times New Roman" w:hAnsi="Times New Roman" w:cs="Times New Roman"/>
          <w:sz w:val="18"/>
          <w:szCs w:val="18"/>
        </w:rPr>
        <w:tab/>
        <w:t>Registro di classe, dei docenti e dei profili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IV.4</w:t>
      </w:r>
      <w:r>
        <w:rPr>
          <w:rFonts w:ascii="Times New Roman" w:eastAsia="Times New Roman" w:hAnsi="Times New Roman" w:cs="Times New Roman"/>
          <w:sz w:val="18"/>
          <w:szCs w:val="18"/>
        </w:rPr>
        <w:tab/>
        <w:t>Libri di testo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IV.5</w:t>
      </w:r>
      <w:r>
        <w:rPr>
          <w:rFonts w:ascii="Times New Roman" w:eastAsia="Times New Roman" w:hAnsi="Times New Roman" w:cs="Times New Roman"/>
          <w:sz w:val="18"/>
          <w:szCs w:val="18"/>
        </w:rPr>
        <w:tab/>
        <w:t>Progetti e materiali didattici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IV.6</w:t>
      </w:r>
      <w:r>
        <w:rPr>
          <w:rFonts w:ascii="Times New Roman" w:eastAsia="Times New Roman" w:hAnsi="Times New Roman" w:cs="Times New Roman"/>
          <w:sz w:val="18"/>
          <w:szCs w:val="18"/>
        </w:rPr>
        <w:tab/>
        <w:t>Viaggi di istruzione, scambi, stage e tirocini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IV.7</w:t>
      </w:r>
      <w:r>
        <w:rPr>
          <w:rFonts w:ascii="Times New Roman" w:eastAsia="Times New Roman" w:hAnsi="Times New Roman" w:cs="Times New Roman"/>
          <w:sz w:val="18"/>
          <w:szCs w:val="18"/>
        </w:rPr>
        <w:tab/>
        <w:t>Biblioteca, emeroteca, videoteca e sussidi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IV.8</w:t>
      </w:r>
      <w:r>
        <w:rPr>
          <w:rFonts w:ascii="Times New Roman" w:eastAsia="Times New Roman" w:hAnsi="Times New Roman" w:cs="Times New Roman"/>
          <w:sz w:val="18"/>
          <w:szCs w:val="18"/>
        </w:rPr>
        <w:tab/>
        <w:t>Salute e prevenzione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IV.9</w:t>
      </w:r>
      <w:r>
        <w:rPr>
          <w:rFonts w:ascii="Times New Roman" w:eastAsia="Times New Roman" w:hAnsi="Times New Roman" w:cs="Times New Roman"/>
          <w:sz w:val="18"/>
          <w:szCs w:val="18"/>
        </w:rPr>
        <w:tab/>
        <w:t>Attività sportivo‐ricreative e rapporti con il Centro Scolastico Sportivo</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IV.10</w:t>
      </w:r>
      <w:r>
        <w:rPr>
          <w:rFonts w:ascii="Times New Roman" w:eastAsia="Times New Roman" w:hAnsi="Times New Roman" w:cs="Times New Roman"/>
          <w:sz w:val="18"/>
          <w:szCs w:val="18"/>
        </w:rPr>
        <w:tab/>
        <w:t>Elaborati e prospetti scrutini</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b/>
          <w:sz w:val="20"/>
          <w:szCs w:val="20"/>
        </w:rPr>
        <w:tab/>
        <w:t>STUDENTI E DIPLOMATI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w:t>
      </w:r>
      <w:r>
        <w:rPr>
          <w:rFonts w:ascii="Times New Roman" w:eastAsia="Times New Roman" w:hAnsi="Times New Roman" w:cs="Times New Roman"/>
          <w:sz w:val="18"/>
          <w:szCs w:val="18"/>
        </w:rPr>
        <w:tab/>
        <w:t xml:space="preserve">Orientamento e </w:t>
      </w:r>
      <w:proofErr w:type="spellStart"/>
      <w:r>
        <w:rPr>
          <w:rFonts w:ascii="Times New Roman" w:eastAsia="Times New Roman" w:hAnsi="Times New Roman" w:cs="Times New Roman"/>
          <w:sz w:val="18"/>
          <w:szCs w:val="18"/>
        </w:rPr>
        <w:t>placement</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V.2</w:t>
      </w:r>
      <w:r>
        <w:rPr>
          <w:rFonts w:ascii="Times New Roman" w:eastAsia="Times New Roman" w:hAnsi="Times New Roman" w:cs="Times New Roman"/>
          <w:sz w:val="18"/>
          <w:szCs w:val="18"/>
        </w:rPr>
        <w:tab/>
        <w:t>Ammissioni e iscrizioni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V.3</w:t>
      </w:r>
      <w:r>
        <w:rPr>
          <w:rFonts w:ascii="Times New Roman" w:eastAsia="Times New Roman" w:hAnsi="Times New Roman" w:cs="Times New Roman"/>
          <w:sz w:val="18"/>
          <w:szCs w:val="18"/>
        </w:rPr>
        <w:tab/>
        <w:t>Anagrafe studenti e formazione delle classi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V.4</w:t>
      </w:r>
      <w:r>
        <w:rPr>
          <w:rFonts w:ascii="Times New Roman" w:eastAsia="Times New Roman" w:hAnsi="Times New Roman" w:cs="Times New Roman"/>
          <w:sz w:val="18"/>
          <w:szCs w:val="18"/>
        </w:rPr>
        <w:tab/>
        <w:t xml:space="preserve">Cursus </w:t>
      </w:r>
      <w:proofErr w:type="spellStart"/>
      <w:r>
        <w:rPr>
          <w:rFonts w:ascii="Times New Roman" w:eastAsia="Times New Roman" w:hAnsi="Times New Roman" w:cs="Times New Roman"/>
          <w:sz w:val="18"/>
          <w:szCs w:val="18"/>
        </w:rPr>
        <w:t>studiorum</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V.5</w:t>
      </w:r>
      <w:r>
        <w:rPr>
          <w:rFonts w:ascii="Times New Roman" w:eastAsia="Times New Roman" w:hAnsi="Times New Roman" w:cs="Times New Roman"/>
          <w:sz w:val="18"/>
          <w:szCs w:val="18"/>
        </w:rPr>
        <w:tab/>
        <w:t>Procedimenti disciplinari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V.6</w:t>
      </w:r>
      <w:r>
        <w:rPr>
          <w:rFonts w:ascii="Times New Roman" w:eastAsia="Times New Roman" w:hAnsi="Times New Roman" w:cs="Times New Roman"/>
          <w:sz w:val="18"/>
          <w:szCs w:val="18"/>
        </w:rPr>
        <w:tab/>
        <w:t>Diritto allo studio e servizi agli studenti (trasporti, mensa, buoni libro, etc.)</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V.7</w:t>
      </w:r>
      <w:r>
        <w:rPr>
          <w:rFonts w:ascii="Times New Roman" w:eastAsia="Times New Roman" w:hAnsi="Times New Roman" w:cs="Times New Roman"/>
          <w:sz w:val="18"/>
          <w:szCs w:val="18"/>
        </w:rPr>
        <w:tab/>
        <w:t>Tutela della salute e farmaci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V.8</w:t>
      </w:r>
      <w:r>
        <w:rPr>
          <w:rFonts w:ascii="Times New Roman" w:eastAsia="Times New Roman" w:hAnsi="Times New Roman" w:cs="Times New Roman"/>
          <w:sz w:val="18"/>
          <w:szCs w:val="18"/>
        </w:rPr>
        <w:tab/>
        <w:t>Esoneri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V.9</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Prescuola</w:t>
      </w:r>
      <w:proofErr w:type="spellEnd"/>
      <w:r>
        <w:rPr>
          <w:rFonts w:ascii="Times New Roman" w:eastAsia="Times New Roman" w:hAnsi="Times New Roman" w:cs="Times New Roman"/>
          <w:sz w:val="18"/>
          <w:szCs w:val="18"/>
        </w:rPr>
        <w:t xml:space="preserve"> e attività parascolastiche</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V.10</w:t>
      </w:r>
      <w:r>
        <w:rPr>
          <w:rFonts w:ascii="Times New Roman" w:eastAsia="Times New Roman" w:hAnsi="Times New Roman" w:cs="Times New Roman"/>
          <w:sz w:val="18"/>
          <w:szCs w:val="18"/>
        </w:rPr>
        <w:tab/>
        <w:t>Disagio e diverse abilità – DSA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ab/>
        <w:t>FINANZA E PATRIMONIO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w:t>
      </w:r>
      <w:r>
        <w:rPr>
          <w:rFonts w:ascii="Times New Roman" w:eastAsia="Times New Roman" w:hAnsi="Times New Roman" w:cs="Times New Roman"/>
          <w:sz w:val="18"/>
          <w:szCs w:val="18"/>
        </w:rPr>
        <w:tab/>
        <w:t>Entrate e finanziamenti del progetto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VI.2</w:t>
      </w:r>
      <w:r>
        <w:rPr>
          <w:rFonts w:ascii="Times New Roman" w:eastAsia="Times New Roman" w:hAnsi="Times New Roman" w:cs="Times New Roman"/>
          <w:sz w:val="18"/>
          <w:szCs w:val="18"/>
        </w:rPr>
        <w:tab/>
        <w:t>Uscite e piani di spesa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VI.3</w:t>
      </w:r>
      <w:r>
        <w:rPr>
          <w:rFonts w:ascii="Times New Roman" w:eastAsia="Times New Roman" w:hAnsi="Times New Roman" w:cs="Times New Roman"/>
          <w:sz w:val="18"/>
          <w:szCs w:val="18"/>
        </w:rPr>
        <w:tab/>
        <w:t>Bilancio, tesoreria, cassa, istituti di credito e verifiche contabili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VI.4</w:t>
      </w:r>
      <w:r>
        <w:rPr>
          <w:rFonts w:ascii="Times New Roman" w:eastAsia="Times New Roman" w:hAnsi="Times New Roman" w:cs="Times New Roman"/>
          <w:sz w:val="18"/>
          <w:szCs w:val="18"/>
        </w:rPr>
        <w:tab/>
        <w:t>Imposte, tasse, ritenute previdenziali e assistenziali, denunce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VI.5</w:t>
      </w:r>
      <w:r>
        <w:rPr>
          <w:rFonts w:ascii="Times New Roman" w:eastAsia="Times New Roman" w:hAnsi="Times New Roman" w:cs="Times New Roman"/>
          <w:sz w:val="18"/>
          <w:szCs w:val="18"/>
        </w:rPr>
        <w:tab/>
        <w:t>Assicurazioni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VI.6</w:t>
      </w:r>
      <w:r>
        <w:rPr>
          <w:rFonts w:ascii="Times New Roman" w:eastAsia="Times New Roman" w:hAnsi="Times New Roman" w:cs="Times New Roman"/>
          <w:sz w:val="18"/>
          <w:szCs w:val="18"/>
        </w:rPr>
        <w:tab/>
        <w:t>Utilizzo beni terzi, comodato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VI.7</w:t>
      </w:r>
      <w:r>
        <w:rPr>
          <w:rFonts w:ascii="Times New Roman" w:eastAsia="Times New Roman" w:hAnsi="Times New Roman" w:cs="Times New Roman"/>
          <w:sz w:val="18"/>
          <w:szCs w:val="18"/>
        </w:rPr>
        <w:tab/>
        <w:t>Inventario e rendiconto patrimoniale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VI.8</w:t>
      </w:r>
      <w:r>
        <w:rPr>
          <w:rFonts w:ascii="Times New Roman" w:eastAsia="Times New Roman" w:hAnsi="Times New Roman" w:cs="Times New Roman"/>
          <w:sz w:val="18"/>
          <w:szCs w:val="18"/>
        </w:rPr>
        <w:tab/>
        <w:t>Infrastrutture e logistica (plessi, succursali)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VI.9</w:t>
      </w:r>
      <w:r>
        <w:rPr>
          <w:rFonts w:ascii="Times New Roman" w:eastAsia="Times New Roman" w:hAnsi="Times New Roman" w:cs="Times New Roman"/>
          <w:sz w:val="18"/>
          <w:szCs w:val="18"/>
        </w:rPr>
        <w:tab/>
        <w:t>DVR e sicurezza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VI.10</w:t>
      </w:r>
      <w:r>
        <w:rPr>
          <w:rFonts w:ascii="Times New Roman" w:eastAsia="Times New Roman" w:hAnsi="Times New Roman" w:cs="Times New Roman"/>
          <w:sz w:val="18"/>
          <w:szCs w:val="18"/>
        </w:rPr>
        <w:tab/>
        <w:t>Beni mobili e servizi</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VI.11</w:t>
      </w:r>
      <w:r>
        <w:rPr>
          <w:rFonts w:ascii="Times New Roman" w:eastAsia="Times New Roman" w:hAnsi="Times New Roman" w:cs="Times New Roman"/>
          <w:sz w:val="18"/>
          <w:szCs w:val="18"/>
        </w:rPr>
        <w:tab/>
        <w:t>Sistemi informatici, telematici e fonia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Pr>
          <w:rFonts w:ascii="Times New Roman" w:eastAsia="Times New Roman" w:hAnsi="Times New Roman" w:cs="Times New Roman"/>
          <w:b/>
          <w:sz w:val="20"/>
          <w:szCs w:val="20"/>
        </w:rPr>
        <w:tab/>
        <w:t>PERSONALE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VII.1</w:t>
      </w:r>
      <w:r>
        <w:rPr>
          <w:rFonts w:ascii="Times New Roman" w:eastAsia="Times New Roman" w:hAnsi="Times New Roman" w:cs="Times New Roman"/>
          <w:sz w:val="18"/>
          <w:szCs w:val="18"/>
        </w:rPr>
        <w:tab/>
        <w:t>Organici, lavoratori socialmente utili, graduatorie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VII.2</w:t>
      </w:r>
      <w:r>
        <w:rPr>
          <w:rFonts w:ascii="Times New Roman" w:eastAsia="Times New Roman" w:hAnsi="Times New Roman" w:cs="Times New Roman"/>
          <w:sz w:val="18"/>
          <w:szCs w:val="18"/>
        </w:rPr>
        <w:tab/>
        <w:t>Carriera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VII.3</w:t>
      </w:r>
      <w:r>
        <w:rPr>
          <w:rFonts w:ascii="Times New Roman" w:eastAsia="Times New Roman" w:hAnsi="Times New Roman" w:cs="Times New Roman"/>
          <w:sz w:val="18"/>
          <w:szCs w:val="18"/>
        </w:rPr>
        <w:tab/>
        <w:t>Trattamento giuridico‐economico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VII.4</w:t>
      </w:r>
      <w:r>
        <w:rPr>
          <w:rFonts w:ascii="Times New Roman" w:eastAsia="Times New Roman" w:hAnsi="Times New Roman" w:cs="Times New Roman"/>
          <w:sz w:val="18"/>
          <w:szCs w:val="18"/>
        </w:rPr>
        <w:tab/>
        <w:t>Assenze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VII.5</w:t>
      </w:r>
      <w:r>
        <w:rPr>
          <w:rFonts w:ascii="Times New Roman" w:eastAsia="Times New Roman" w:hAnsi="Times New Roman" w:cs="Times New Roman"/>
          <w:sz w:val="18"/>
          <w:szCs w:val="18"/>
        </w:rPr>
        <w:tab/>
        <w:t>Formazione, aggiornamento e sviluppo professionale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VII.6</w:t>
      </w:r>
      <w:r>
        <w:rPr>
          <w:rFonts w:ascii="Times New Roman" w:eastAsia="Times New Roman" w:hAnsi="Times New Roman" w:cs="Times New Roman"/>
          <w:sz w:val="18"/>
          <w:szCs w:val="18"/>
        </w:rPr>
        <w:tab/>
        <w:t>Obiettivi, incarichi, valutazione e disciplina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VII.7</w:t>
      </w:r>
      <w:r>
        <w:rPr>
          <w:rFonts w:ascii="Times New Roman" w:eastAsia="Times New Roman" w:hAnsi="Times New Roman" w:cs="Times New Roman"/>
          <w:sz w:val="18"/>
          <w:szCs w:val="18"/>
        </w:rPr>
        <w:tab/>
        <w:t>Sorveglianza sanitaria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VII.8</w:t>
      </w:r>
      <w:r>
        <w:rPr>
          <w:rFonts w:ascii="Times New Roman" w:eastAsia="Times New Roman" w:hAnsi="Times New Roman" w:cs="Times New Roman"/>
          <w:sz w:val="18"/>
          <w:szCs w:val="18"/>
        </w:rPr>
        <w:tab/>
        <w:t>Collaboratori esterni</w:t>
      </w:r>
    </w:p>
    <w:p w:rsidR="00512A5A" w:rsidRDefault="00512A5A">
      <w:pPr>
        <w:spacing w:line="259" w:lineRule="auto"/>
        <w:rPr>
          <w:rFonts w:ascii="Times New Roman" w:eastAsia="Times New Roman" w:hAnsi="Times New Roman" w:cs="Times New Roman"/>
          <w:sz w:val="18"/>
          <w:szCs w:val="18"/>
        </w:rPr>
        <w:sectPr w:rsidR="00512A5A">
          <w:pgSz w:w="11906" w:h="16838" w:code="9"/>
          <w:pgMar w:top="1417" w:right="1701" w:bottom="1417" w:left="1701" w:header="708" w:footer="708" w:gutter="0"/>
          <w:pgNumType w:start="1"/>
          <w:cols w:space="720"/>
        </w:sect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smallCaps/>
        </w:rPr>
        <w:lastRenderedPageBreak/>
        <w:t>I LIVELLO</w:t>
      </w:r>
      <w:r>
        <w:rPr>
          <w:rFonts w:ascii="Times New Roman" w:eastAsia="Times New Roman" w:hAnsi="Times New Roman" w:cs="Times New Roman"/>
          <w:b/>
        </w:rPr>
        <w:t>: Amministrazione</w:t>
      </w:r>
    </w:p>
    <w:tbl>
      <w:tblPr>
        <w:tblStyle w:val="a1"/>
        <w:tblW w:w="10845" w:type="dxa"/>
        <w:jc w:val="center"/>
        <w:tblInd w:w="0" w:type="dxa"/>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ayout w:type="fixed"/>
        <w:tblLook w:val="0400"/>
      </w:tblPr>
      <w:tblGrid>
        <w:gridCol w:w="360"/>
        <w:gridCol w:w="1640"/>
        <w:gridCol w:w="615"/>
        <w:gridCol w:w="5190"/>
        <w:gridCol w:w="3040"/>
      </w:tblGrid>
      <w:tr w:rsidR="00512A5A">
        <w:trPr>
          <w:trHeight w:val="284"/>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bookmarkStart w:id="2" w:name="_30j0zll" w:colFirst="0" w:colLast="0"/>
            <w:bookmarkEnd w:id="2"/>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Normativa e disposizioni attuative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Leggi, regolamenti e tutta la documentazione relativa a:</w:t>
            </w:r>
            <w:r>
              <w:rPr>
                <w:rFonts w:ascii="Times New Roman" w:eastAsia="Times New Roman" w:hAnsi="Times New Roman" w:cs="Times New Roman"/>
                <w:sz w:val="16"/>
                <w:szCs w:val="16"/>
              </w:rPr>
              <w:br/>
              <w:t>- istituzione della scuola</w:t>
            </w:r>
            <w:r>
              <w:rPr>
                <w:rFonts w:ascii="Times New Roman" w:eastAsia="Times New Roman" w:hAnsi="Times New Roman" w:cs="Times New Roman"/>
                <w:sz w:val="16"/>
                <w:szCs w:val="16"/>
              </w:rPr>
              <w:br/>
              <w:t>- intitolazione</w:t>
            </w:r>
            <w:r>
              <w:rPr>
                <w:rFonts w:ascii="Times New Roman" w:eastAsia="Times New Roman" w:hAnsi="Times New Roman" w:cs="Times New Roman"/>
                <w:sz w:val="16"/>
                <w:szCs w:val="16"/>
              </w:rPr>
              <w:br/>
              <w:t>- eventuali accorpamenti e trasformazioni (ad es. in istituto comprensivo)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I.1.2</w:t>
            </w:r>
          </w:p>
        </w:tc>
        <w:tc>
          <w:tcPr>
            <w:tcW w:w="5190" w:type="dxa"/>
            <w:tcBorders>
              <w:top w:val="single" w:sz="4" w:space="0" w:color="D9D9D9"/>
              <w:bottom w:val="single" w:sz="4" w:space="0" w:color="D9D9D9"/>
            </w:tcBorders>
            <w:shd w:val="clear" w:color="auto" w:fill="auto"/>
            <w:tcMar>
              <w:top w:w="85" w:type="dxa"/>
              <w:bottom w:w="85" w:type="dxa"/>
            </w:tcMar>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regolamenti interni (regolamento dell’istituto, carta dei servizi, regolamenti della biblioteca, dei laboratori e direttive varie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Economato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relative al personale e CCNL</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dall’entrata in vigore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Circolari e ordinanze interne esplicative e direttive</w:t>
            </w:r>
            <w:r>
              <w:rPr>
                <w:rFonts w:ascii="Times New Roman" w:eastAsia="Times New Roman" w:hAnsi="Times New Roman" w:cs="Times New Roman"/>
              </w:rPr>
              <w:t xml:space="preserve"> </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1 esemplare per circolare/ordinanza</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all’archivio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 pensione e trattamento di quiescenza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dalla decadenza</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I.1.8</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Regolamenti delle biblioteche dell’Istituto (dei docenti, degli alunni, ecc)</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Organigramma e </w:t>
            </w:r>
            <w:proofErr w:type="spellStart"/>
            <w:r>
              <w:rPr>
                <w:rFonts w:ascii="Times New Roman" w:eastAsia="Times New Roman" w:hAnsi="Times New Roman" w:cs="Times New Roman"/>
                <w:b/>
                <w:sz w:val="16"/>
                <w:szCs w:val="16"/>
              </w:rPr>
              <w:t>funzionigramma</w:t>
            </w:r>
            <w:proofErr w:type="spellEnd"/>
          </w:p>
        </w:tc>
        <w:tc>
          <w:tcPr>
            <w:tcW w:w="615"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I.2.1</w:t>
            </w:r>
          </w:p>
        </w:tc>
        <w:tc>
          <w:tcPr>
            <w:tcW w:w="519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organico dell'autonomia, organico docenti, organico ATA</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Statistica e sicurezza di dati e informazioni</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programmatico di sicurezza dati (DPS)</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Inchieste, indagini (ambientali, socio-economiche, sanitarie,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I.3.3</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Statistiche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relativi alla privacy e alla protezione dei dati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Titolari di classificazione d’archivio (compresi quelli non più in uso)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Scarto di atti d’archivio (procedure, elenchi, autorizzazioni e verbali di distruzione…)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I.4.4</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protocollo (generali e riservati)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I.4.5</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Repertori dei fascicoli d’archivio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Rubriche alfabetiche del protocollo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della posta in partenza e/o documentazione attestante la spedizione o la ricezione (anche a mano o mediante affissione in bacheca)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anni dalla data dell’ultima registrazione (salvo contenziosi in corso)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Richiesta di accesso ai documenti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richieste (salvo contenziosi in corso)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copie di atti e relativo rilascio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copie rilasciate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certificati e loro trasmissione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Bollettario di richiesta degli stampati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I.4.12</w:t>
            </w:r>
          </w:p>
        </w:tc>
        <w:tc>
          <w:tcPr>
            <w:tcW w:w="5190" w:type="dxa"/>
            <w:tcBorders>
              <w:top w:val="single" w:sz="4" w:space="0" w:color="D9D9D9"/>
              <w:bottom w:val="single" w:sz="4"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consultazione dell’archivio della scuola per finalità storico-culturali</w:t>
            </w:r>
          </w:p>
        </w:tc>
        <w:tc>
          <w:tcPr>
            <w:tcW w:w="3040" w:type="dxa"/>
            <w:tcBorders>
              <w:top w:val="single" w:sz="4" w:space="0" w:color="D9D9D9"/>
              <w:bottom w:val="single" w:sz="4"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delle consultazioni</w:t>
            </w:r>
          </w:p>
        </w:tc>
      </w:tr>
      <w:tr w:rsidR="00512A5A">
        <w:trPr>
          <w:trHeight w:val="283"/>
          <w:jc w:val="center"/>
        </w:trPr>
        <w:tc>
          <w:tcPr>
            <w:tcW w:w="36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1F3864"/>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w:t>
            </w:r>
          </w:p>
        </w:tc>
        <w:tc>
          <w:tcPr>
            <w:tcW w:w="5190" w:type="dxa"/>
            <w:tcBorders>
              <w:top w:val="single" w:sz="4" w:space="0" w:color="1F3864"/>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verbali riunioni per contrattazione d’istituto</w:t>
            </w:r>
          </w:p>
        </w:tc>
        <w:tc>
          <w:tcPr>
            <w:tcW w:w="3040" w:type="dxa"/>
            <w:tcBorders>
              <w:top w:val="single" w:sz="4" w:space="0" w:color="1F3864"/>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 Consiglio o Staff di Presidenza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Organi collegiali (Consiglio di circolo o di istituto, Giunta esecutiva, Collegio docenti, Consigli di classe o di interclasse) e degli eventuali gruppi di lavoro derivati (es. dipartimenti, commissioni, ambiti disciplinari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deliberazioni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contratti per fornitura di materiali, espletamento di servizi, assunzione personale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454"/>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cronologico dei contratti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454"/>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della cassa scolastica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I.5.8</w:t>
            </w:r>
          </w:p>
        </w:tc>
        <w:tc>
          <w:tcPr>
            <w:tcW w:w="5190" w:type="dxa"/>
            <w:tcBorders>
              <w:top w:val="single" w:sz="4" w:space="0" w:color="D9D9D9"/>
              <w:bottom w:val="single" w:sz="12"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materiali di facile consumo</w:t>
            </w:r>
          </w:p>
        </w:tc>
        <w:tc>
          <w:tcPr>
            <w:tcW w:w="3040" w:type="dxa"/>
            <w:tcBorders>
              <w:top w:val="single" w:sz="4" w:space="0" w:color="D9D9D9"/>
              <w:bottom w:val="single" w:sz="12"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1F3864"/>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I.5.9</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tasse e dei contributi scolastici (iscrizione, diploma…)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dall’ultima registrazione, conservando a campione una annata ogni dieci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dei verbali dei Revisori dei conti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Inventari patrimoniali (registri inventariali) dei beni mobili; registri di entrata della biblioteca; registri di entrata dei sussidi multimediali; inventari e repertori dell’archivio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di magazzino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Scartabile dopo 6 anni </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highlight w:val="yellow"/>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highlight w:val="yellow"/>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licenze software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tessere di riconoscimento (Mod. AT)</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autorizzazioni ad impartire lezioni private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dall’ultima registrazione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dello stato personale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degli stipendi ed altri assegni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degli infortuni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servizio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assenze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immatricolazione e/o di iscrizione degli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generali dei voti, delle valutazioni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studio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e verbali del debito formativo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conservando illimitatamente un anno a campione ogni 5</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I.5.25</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materia</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I.5.26</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dipartimento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scrutini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esami e delle relative prove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carico e scarico dei diplomi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I.5.30</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consegna dei diplomi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Audit, qualità, carta dei servizi, valutazione e autovalutazione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di qualità e accreditamenti (es. ministeriali e regionali, ecc.)</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ispezione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finali di istituto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Questionari e monitoraggio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una copia in bianco del questionario e i suoi risultati sintetici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I.6.5</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Valutazioni, rilevazioni dati, e relazioni sull’attività della scuola, redatte sia da personale interno sia da esterni (INVALSI, OCSE- PISA, ecc.)</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Elezioni e nomine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delle Commissioni Elettorali.</w:t>
            </w:r>
            <w:r>
              <w:rPr>
                <w:rFonts w:ascii="Times New Roman" w:eastAsia="Times New Roman" w:hAnsi="Times New Roman" w:cs="Times New Roman"/>
                <w:sz w:val="16"/>
                <w:szCs w:val="16"/>
              </w:rPr>
              <w:br/>
              <w:t>Atti di nomina degli Organi collegiali a livello di circolo e di istituto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 delle elezioni degli Organi collegiali:</w:t>
            </w:r>
            <w:r>
              <w:rPr>
                <w:rFonts w:ascii="Times New Roman" w:eastAsia="Times New Roman" w:hAnsi="Times New Roman" w:cs="Times New Roman"/>
                <w:sz w:val="16"/>
                <w:szCs w:val="16"/>
              </w:rPr>
              <w:br/>
              <w:t>- verbale di consegna di materiale elettorale</w:t>
            </w:r>
            <w:r>
              <w:rPr>
                <w:rFonts w:ascii="Times New Roman" w:eastAsia="Times New Roman" w:hAnsi="Times New Roman" w:cs="Times New Roman"/>
                <w:sz w:val="16"/>
                <w:szCs w:val="16"/>
              </w:rPr>
              <w:br/>
              <w:t>- liste candidati</w:t>
            </w:r>
            <w:r>
              <w:rPr>
                <w:rFonts w:ascii="Times New Roman" w:eastAsia="Times New Roman" w:hAnsi="Times New Roman" w:cs="Times New Roman"/>
                <w:sz w:val="16"/>
                <w:szCs w:val="16"/>
              </w:rPr>
              <w:br/>
              <w:t>- elenchi elettori</w:t>
            </w:r>
            <w:r>
              <w:rPr>
                <w:rFonts w:ascii="Times New Roman" w:eastAsia="Times New Roman" w:hAnsi="Times New Roman" w:cs="Times New Roman"/>
                <w:sz w:val="16"/>
                <w:szCs w:val="16"/>
              </w:rPr>
              <w:br/>
              <w:t>- certificati elettorali</w:t>
            </w:r>
            <w:r>
              <w:rPr>
                <w:rFonts w:ascii="Times New Roman" w:eastAsia="Times New Roman" w:hAnsi="Times New Roman" w:cs="Times New Roman"/>
                <w:sz w:val="16"/>
                <w:szCs w:val="16"/>
              </w:rPr>
              <w:br/>
              <w:t>- scheda votazioni</w:t>
            </w:r>
            <w:r>
              <w:rPr>
                <w:rFonts w:ascii="Times New Roman" w:eastAsia="Times New Roman" w:hAnsi="Times New Roman" w:cs="Times New Roman"/>
                <w:sz w:val="16"/>
                <w:szCs w:val="16"/>
              </w:rPr>
              <w:br/>
              <w:t>- prospetti per il calcolo dei voti</w:t>
            </w:r>
            <w:r>
              <w:rPr>
                <w:rFonts w:ascii="Times New Roman" w:eastAsia="Times New Roman" w:hAnsi="Times New Roman" w:cs="Times New Roman"/>
                <w:sz w:val="16"/>
                <w:szCs w:val="16"/>
              </w:rPr>
              <w:br/>
              <w:t>- tabelle scrutinio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dalle elezioni conservando 1 campione di scheda non utilizzata per ciascuna elezione e per ciascuna categoria di elettori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I.7.3</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 di nomina di commissioni, comitati, e gruppi di lavoro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cerimonie, inaugurazioni e relazioni esterne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27"/>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I.8.2</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Giornalini di classe o d’istituto</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I.8.3</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Annuari, rassegna stampa e pubblicazioni varie della scuola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 degli annuari e delle pubblicazioni e della rassegna stampa</w:t>
            </w:r>
          </w:p>
        </w:tc>
      </w:tr>
      <w:tr w:rsidR="00512A5A">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I.8.4</w:t>
            </w:r>
          </w:p>
        </w:tc>
        <w:tc>
          <w:tcPr>
            <w:tcW w:w="5190" w:type="dxa"/>
            <w:tcBorders>
              <w:top w:val="single" w:sz="4" w:space="0" w:color="D9D9D9"/>
              <w:bottom w:val="single" w:sz="12"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Locandine e manifesti di qualsiasi tipo pubblicati o stampati dalla o per conto della scuola</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Organi e organismi</w:t>
      </w:r>
    </w:p>
    <w:tbl>
      <w:tblPr>
        <w:tblStyle w:val="a2"/>
        <w:tblW w:w="1083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435"/>
        <w:gridCol w:w="1560"/>
        <w:gridCol w:w="520"/>
        <w:gridCol w:w="5280"/>
        <w:gridCol w:w="3040"/>
      </w:tblGrid>
      <w:tr w:rsidR="00512A5A">
        <w:trPr>
          <w:trHeight w:val="283"/>
          <w:jc w:val="center"/>
        </w:trPr>
        <w:tc>
          <w:tcPr>
            <w:tcW w:w="1995"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435"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56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Consiglio di istituto, Consiglio di circolo e Consiglio di Amministrazione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Istituto e Consiglio di circolo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 Consiglio di Amministrazione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II.1.3</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istituto e Consiglio di circolo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Consiglio di classe e di interclasse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classe e di interclasse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classe e di interclasse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Collegio dei docenti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Collegio dei docenti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Collegio dei docenti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Giunta esecutiva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Giunta esecutiva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Giunta esecutiva</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 </w:t>
            </w:r>
          </w:p>
        </w:tc>
        <w:tc>
          <w:tcPr>
            <w:tcW w:w="156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Dirigente scolastico DS</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Determinazioni dirigenziali (raccolte in serie cronologiche)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dei docenti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tbl>
      <w:tblPr>
        <w:tblStyle w:val="a3"/>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Direttore dei servizi generali e amministrativi DSGA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Ordini di servizio generali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del personale ATA</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di valutazione del servizio dei docenti</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valutazione dei docenti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di valutazione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dei genitori, Comitato studentesco e rapporti scuola-famiglia</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Comunicazioni da parte di Comitato studentesco, Comitato dei genitori e famiglie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Comitato studentesco e Comitato dei genitori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II.8.3</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studentesco e Comitato dei genitori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Reti scolastiche</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e accordi di rete (con scuole, con enti ecc.)</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Rapporti sindacali, contrattazione e Rappresentanza sindacale unitaria (RSU)</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Contrattazione d’istituto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Rapporti con organizzazioni sindacali e rappresentanze interne</w:t>
            </w:r>
            <w:r>
              <w:rPr>
                <w:rFonts w:ascii="Times New Roman" w:eastAsia="Times New Roman" w:hAnsi="Times New Roman" w:cs="Times New Roman"/>
                <w:sz w:val="16"/>
                <w:szCs w:val="16"/>
              </w:rPr>
              <w:br/>
              <w:t>- Scioperi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Commissioni e gruppi di lavoro</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documenti istruttori e deliberativi di Commissioni e gruppi di lavoro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delle Commissioni e gruppi di lavoro</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lastRenderedPageBreak/>
        <w:t>I LIVELLO: Attività giuridico-legale</w:t>
      </w:r>
    </w:p>
    <w:tbl>
      <w:tblPr>
        <w:tblStyle w:val="a4"/>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Contenzioso</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prodotta e acquisita nel corso di transazioni, conciliazioni e ricorsi amministrativi e giurisdizionali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Azioni legali collettive del personale</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III.2</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Violazioni amministrative e reati</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III.2.1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violazioni amministrative e reati (denunce alle forze dell'ordine, sanzioni amministrative, ecc.)</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Responsabilità civile, penale e amm.va</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retribuzione dipendenti assenti dal lavoro per responsabilità di terzi</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Pareri e consulenze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w:t>
            </w:r>
            <w:r>
              <w:rPr>
                <w:rFonts w:ascii="Times New Roman" w:eastAsia="Times New Roman" w:hAnsi="Times New Roman" w:cs="Times New Roman"/>
                <w:sz w:val="16"/>
                <w:szCs w:val="16"/>
              </w:rPr>
              <w:br/>
              <w:t>- istituzioni socio-assistenziali</w:t>
            </w:r>
            <w:r>
              <w:rPr>
                <w:rFonts w:ascii="Times New Roman" w:eastAsia="Times New Roman" w:hAnsi="Times New Roman" w:cs="Times New Roman"/>
                <w:sz w:val="16"/>
                <w:szCs w:val="16"/>
              </w:rPr>
              <w:br/>
              <w:t>- enti locali</w:t>
            </w:r>
            <w:r>
              <w:rPr>
                <w:rFonts w:ascii="Times New Roman" w:eastAsia="Times New Roman" w:hAnsi="Times New Roman" w:cs="Times New Roman"/>
                <w:sz w:val="16"/>
                <w:szCs w:val="16"/>
              </w:rPr>
              <w:br/>
              <w:t>- cooperative ed associazioni</w:t>
            </w:r>
            <w:r>
              <w:rPr>
                <w:rFonts w:ascii="Times New Roman" w:eastAsia="Times New Roman" w:hAnsi="Times New Roman" w:cs="Times New Roman"/>
                <w:sz w:val="16"/>
                <w:szCs w:val="16"/>
              </w:rPr>
              <w:br/>
              <w:t>- Tribunale dei minori</w:t>
            </w:r>
            <w:r>
              <w:rPr>
                <w:rFonts w:ascii="Times New Roman" w:eastAsia="Times New Roman" w:hAnsi="Times New Roman" w:cs="Times New Roman"/>
                <w:sz w:val="16"/>
                <w:szCs w:val="16"/>
              </w:rPr>
              <w:br/>
              <w:t>- servizio sanitario nazionale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Pareri legali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ILLIMITATI </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Didattica</w:t>
      </w:r>
    </w:p>
    <w:tbl>
      <w:tblPr>
        <w:tblStyle w:val="a5"/>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380"/>
        <w:gridCol w:w="1640"/>
        <w:gridCol w:w="720"/>
        <w:gridCol w:w="5140"/>
        <w:gridCol w:w="298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Piano Triennale dell’Offerta Formativa PTOF </w:t>
            </w:r>
          </w:p>
        </w:tc>
        <w:tc>
          <w:tcPr>
            <w:tcW w:w="7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Triennale dell'Offerta Formativa (PTOF)</w:t>
            </w:r>
          </w:p>
        </w:tc>
        <w:tc>
          <w:tcPr>
            <w:tcW w:w="298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extracurricolari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Attività formative (teatro, musica, interventi di recupero, inserimento alunni stranieri, patentino ecc.)</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operativi nazionali (PON); Progetti operativi regionali (POR);</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(manifestazioni teatrali,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di classe, dei docenti e dei profili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orario: relazioni, dichiarazioni e autocertificazioni</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IV.3.2</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Orari delle lezioni</w:t>
            </w:r>
          </w:p>
        </w:tc>
        <w:tc>
          <w:tcPr>
            <w:tcW w:w="298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un esemplare dell’orario di ciascuna classe di tutte le sezioni, scartando dopo un anno eventuali copie d’uso e dopo 6 anni gli atti relativi alla definizione dell’orario</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w:t>
            </w:r>
            <w:r>
              <w:rPr>
                <w:rFonts w:ascii="Times New Roman" w:eastAsia="Times New Roman" w:hAnsi="Times New Roman" w:cs="Times New Roman"/>
                <w:sz w:val="16"/>
                <w:szCs w:val="16"/>
              </w:rPr>
              <w:lastRenderedPageBreak/>
              <w:t>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 xml:space="preserve">Registro di classe, dei </w:t>
            </w:r>
            <w:r>
              <w:rPr>
                <w:rFonts w:ascii="Times New Roman" w:eastAsia="Times New Roman" w:hAnsi="Times New Roman" w:cs="Times New Roman"/>
                <w:b/>
                <w:sz w:val="16"/>
                <w:szCs w:val="16"/>
              </w:rPr>
              <w:lastRenderedPageBreak/>
              <w:t>docenti e dei profili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IV.3.3</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profili degli alunni redatti dai Consigli di classe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classe</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personali dei docenti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fino all’anno scolastico 1969/70. Successivamente scartabili dopo 10 anni, conservando illimitatamente un anno ogni 5</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IV.3.6</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assenze degli alunni (e relativa documentazione)</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IV.4</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Libri di testo</w:t>
            </w:r>
          </w:p>
        </w:tc>
        <w:tc>
          <w:tcPr>
            <w:tcW w:w="7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IV.4.1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e relazioni riguardanti l’adozione dei libri di testo</w:t>
            </w:r>
          </w:p>
        </w:tc>
        <w:tc>
          <w:tcPr>
            <w:tcW w:w="298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Progetti e materiali didattici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Piani di lavoro, Programmi, Relazioni finali di classe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Educativo Individualizzato (PEI)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 dell’alunno</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Programmi d'esame</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prodotti da docenti e studenti in preparazione e nel corso di attività didattiche (dispense, percorsi, sussidi, sperimentazioni multidisciplinari, testi teatrali, sceneggiature cinematografiche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IV.5.5</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curricolari</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Viaggi di istruzione, scambi, stage e tirocini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Pratiche per assistenza e soggiorni climatici /colonie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Borse di studio / stage: bandi, studi e relazioni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(gite, visite di studio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IV.6.4</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ai PCTO (Percorsi per le Competenze Trasversali e l’Orientamento)</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Biblioteca, emeroteca, videoteca e sussidi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Contributi per biblioteca scolastica (documentazione relativa)</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cronologico di entrata (vedi I.5.11)</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Cataloghi e regolamenti delle biblioteche dell’Istituto (dei docenti, degli alunni, ecc)</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Salute e prevenzione</w:t>
            </w:r>
          </w:p>
        </w:tc>
        <w:tc>
          <w:tcPr>
            <w:tcW w:w="7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Educazione alla salute: progetti, interventi e convenzioni</w:t>
            </w:r>
          </w:p>
        </w:tc>
        <w:tc>
          <w:tcPr>
            <w:tcW w:w="298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
          <w:szCs w:val="2"/>
        </w:rPr>
      </w:pPr>
    </w:p>
    <w:tbl>
      <w:tblPr>
        <w:tblStyle w:val="a6"/>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380"/>
        <w:gridCol w:w="1640"/>
        <w:gridCol w:w="720"/>
        <w:gridCol w:w="5140"/>
        <w:gridCol w:w="298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sportivo‐ricreative e rapporti con il Centro Scolastico Sportivo</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Autorizzazioni all’uso di locali scolastici e impianti sportivi</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eventuali atti riassuntivi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formativi relativi a sport</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IV.9.3</w:t>
            </w:r>
          </w:p>
        </w:tc>
        <w:tc>
          <w:tcPr>
            <w:tcW w:w="5140" w:type="dxa"/>
            <w:tcBorders>
              <w:top w:val="single" w:sz="4" w:space="0" w:color="D9D9D9"/>
              <w:bottom w:val="single" w:sz="4"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attività del Gruppo sportivo</w:t>
            </w:r>
          </w:p>
        </w:tc>
        <w:tc>
          <w:tcPr>
            <w:tcW w:w="2980" w:type="dxa"/>
            <w:tcBorders>
              <w:top w:val="single" w:sz="4" w:space="0" w:color="D9D9D9"/>
              <w:bottom w:val="single" w:sz="4"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IV.10</w:t>
            </w:r>
          </w:p>
        </w:tc>
        <w:tc>
          <w:tcPr>
            <w:tcW w:w="1640" w:type="dxa"/>
            <w:vMerge w:val="restart"/>
            <w:shd w:val="clear" w:color="auto" w:fill="auto"/>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Elaborati e prospetti scrutini</w:t>
            </w:r>
          </w:p>
        </w:tc>
        <w:tc>
          <w:tcPr>
            <w:tcW w:w="720" w:type="dxa"/>
            <w:tcBorders>
              <w:top w:val="single" w:sz="4" w:space="0" w:color="1F3864"/>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IV.10.1</w:t>
            </w:r>
          </w:p>
        </w:tc>
        <w:tc>
          <w:tcPr>
            <w:tcW w:w="5140" w:type="dxa"/>
            <w:tcBorders>
              <w:top w:val="single" w:sz="4" w:space="0" w:color="1F3864"/>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e pratiche degli alunni (esclusi quelli prodotti per l’esame di Stato)</w:t>
            </w:r>
          </w:p>
        </w:tc>
        <w:tc>
          <w:tcPr>
            <w:tcW w:w="2980" w:type="dxa"/>
            <w:tcBorders>
              <w:top w:val="single" w:sz="4" w:space="0" w:color="1F3864"/>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a campione una annata ogni 10</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plico dell’esame</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pratiche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nel plico dell’esame le fotografie dei manufatti</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Invalsi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Scartabili dopo un anno, conservando </w:t>
            </w:r>
            <w:r>
              <w:rPr>
                <w:rFonts w:ascii="Times New Roman" w:eastAsia="Times New Roman" w:hAnsi="Times New Roman" w:cs="Times New Roman"/>
                <w:sz w:val="16"/>
                <w:szCs w:val="16"/>
              </w:rPr>
              <w:lastRenderedPageBreak/>
              <w:t>illimitatamente a campione una annata ogni 10</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 trimestrali o quadrimestrali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IV.10.6</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scrutinio finale</w:t>
            </w:r>
          </w:p>
        </w:tc>
        <w:tc>
          <w:tcPr>
            <w:tcW w:w="298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Studenti e diplomati</w:t>
      </w:r>
    </w:p>
    <w:tbl>
      <w:tblPr>
        <w:tblStyle w:val="a7"/>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Orientamento e </w:t>
            </w:r>
            <w:proofErr w:type="spellStart"/>
            <w:r>
              <w:rPr>
                <w:rFonts w:ascii="Times New Roman" w:eastAsia="Times New Roman" w:hAnsi="Times New Roman" w:cs="Times New Roman"/>
                <w:b/>
                <w:sz w:val="16"/>
                <w:szCs w:val="16"/>
              </w:rPr>
              <w:t>placement</w:t>
            </w:r>
            <w:proofErr w:type="spellEnd"/>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Progetti formativi relativi a orientamento e </w:t>
            </w:r>
            <w:proofErr w:type="spellStart"/>
            <w:r>
              <w:rPr>
                <w:rFonts w:ascii="Times New Roman" w:eastAsia="Times New Roman" w:hAnsi="Times New Roman" w:cs="Times New Roman"/>
                <w:sz w:val="16"/>
                <w:szCs w:val="16"/>
              </w:rPr>
              <w:t>placement</w:t>
            </w:r>
            <w:proofErr w:type="spellEnd"/>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Ammissioni e iscrizioni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Elenchi alunni per iscrizioni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e documenti prodotti da alunni e candidati per l’iscrizione ai vari tipi di scuola e per l’ammissione agli esami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fine dell’appartenenza all’Istituto o dall’iscrizione all’esame</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V.3.1</w:t>
            </w:r>
          </w:p>
        </w:tc>
        <w:tc>
          <w:tcPr>
            <w:tcW w:w="528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nascita</w:t>
            </w:r>
          </w:p>
        </w:tc>
        <w:tc>
          <w:tcPr>
            <w:tcW w:w="30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1F3864"/>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V.3.2</w:t>
            </w:r>
          </w:p>
        </w:tc>
        <w:tc>
          <w:tcPr>
            <w:tcW w:w="5280" w:type="dxa"/>
            <w:tcBorders>
              <w:top w:val="single" w:sz="4" w:space="0" w:color="1F3864"/>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alla formazione delle classi</w:t>
            </w:r>
          </w:p>
        </w:tc>
        <w:tc>
          <w:tcPr>
            <w:tcW w:w="3040" w:type="dxa"/>
            <w:tcBorders>
              <w:top w:val="single" w:sz="4" w:space="0" w:color="1F3864"/>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Cursus </w:t>
            </w:r>
            <w:proofErr w:type="spellStart"/>
            <w:r>
              <w:rPr>
                <w:rFonts w:ascii="Times New Roman" w:eastAsia="Times New Roman" w:hAnsi="Times New Roman" w:cs="Times New Roman"/>
                <w:b/>
                <w:i/>
                <w:sz w:val="16"/>
                <w:szCs w:val="16"/>
              </w:rPr>
              <w:t>studiorum</w:t>
            </w:r>
            <w:proofErr w:type="spellEnd"/>
          </w:p>
          <w:p w:rsidR="00512A5A" w:rsidRDefault="00512A5A">
            <w:pPr>
              <w:spacing w:after="160" w:line="259" w:lineRule="auto"/>
              <w:rPr>
                <w:rFonts w:ascii="Times New Roman" w:eastAsia="Times New Roman" w:hAnsi="Times New Roman" w:cs="Times New Roman"/>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inerenti le ripetenze degli alunni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nei rispettivi fascicoli personali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personali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V.4.3</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Pagelle scolastiche Schede di valutazione Schede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V.4.4</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Libretti scolastici e altra documentazione relativa agli studi dell’alunno (es. Portfolio)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V.4.5</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delle competenze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Procedimenti disciplinari</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agli alunni</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Diritto allo studio e servizi agli studenti (trasporti, mensa, buoni libro, etc.)</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Elenchi dei buoni libro concessi e documentazione di supporto</w:t>
            </w:r>
            <w:r>
              <w:rPr>
                <w:rFonts w:ascii="Times New Roman" w:eastAsia="Times New Roman" w:hAnsi="Times New Roman" w:cs="Times New Roman"/>
                <w:sz w:val="16"/>
                <w:szCs w:val="16"/>
              </w:rPr>
              <w:br/>
              <w:t>- Cedole librarie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l’elenco dei percipienti ed eventuali relazioni o rendiconti speciali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Mensa: richieste di iscrizione al servizio mensa ed elenchi presenze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contratti, relazioni sull’attività, diete e menu seguiti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V.6.3</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di iscrizione al servizio ed attestazioni di pagamento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V.6.4</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per trasporto gratuito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elenchi riassuntivi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V.6.5</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di abbonamenti ferroviari e diversi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V.6.6</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assistenza scolastica e Patronato scolastico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V.6.7</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il diritto allo studio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V.6.8</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ai fini della fruizione di assegni di studio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Tutela della salute e farmaci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vaccinazione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Campagne di vaccinazione e disinfestazione, atti e documenti relativi alla loro effettuazione</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la documentazione e i registri riassuntivi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Esoneri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ad esoneri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Prescuola</w:t>
            </w:r>
            <w:proofErr w:type="spellEnd"/>
            <w:r>
              <w:rPr>
                <w:rFonts w:ascii="Times New Roman" w:eastAsia="Times New Roman" w:hAnsi="Times New Roman" w:cs="Times New Roman"/>
                <w:b/>
                <w:sz w:val="16"/>
                <w:szCs w:val="16"/>
              </w:rPr>
              <w:t xml:space="preserve"> e attività parascolastiche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Cooperative di alunni: atti costitutivi, documenti istruttori e deliberativi, corrispondenza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per attività formative e parascolastiche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18"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Disagio e diverse abilità – DSA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V.10.1</w:t>
            </w:r>
          </w:p>
        </w:tc>
        <w:tc>
          <w:tcPr>
            <w:tcW w:w="528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Schede individuali degli alunni (schedario)</w:t>
            </w:r>
          </w:p>
        </w:tc>
        <w:tc>
          <w:tcPr>
            <w:tcW w:w="30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Finanza e patrimonio</w:t>
      </w:r>
    </w:p>
    <w:tbl>
      <w:tblPr>
        <w:tblStyle w:val="a8"/>
        <w:tblW w:w="1082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380"/>
        <w:gridCol w:w="1640"/>
        <w:gridCol w:w="540"/>
        <w:gridCol w:w="5260"/>
        <w:gridCol w:w="300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Entrate e finanziamenti del progetto</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Partitario delle Entrate </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Reversali con la relativa documentazione giustificativa (fatture, corrispondenza varia)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trPr>
          <w:trHeight w:val="283"/>
          <w:jc w:val="center"/>
        </w:trPr>
        <w:tc>
          <w:tcPr>
            <w:tcW w:w="38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Partitario delle Uscite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Mandati di pagamento con la relativa documentazione giustificativa (ordinativi di acquisto, buoni d’ordine, fatture, corrispondenza varia)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spese su aperture di credito e rendiconto trimestrale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VI.2.4</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Liquidazioni consulenze</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VI.2.5</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Copie di delibere e/o di </w:t>
            </w:r>
            <w:proofErr w:type="spellStart"/>
            <w:r>
              <w:rPr>
                <w:rFonts w:ascii="Times New Roman" w:eastAsia="Times New Roman" w:hAnsi="Times New Roman" w:cs="Times New Roman"/>
                <w:sz w:val="16"/>
                <w:szCs w:val="16"/>
              </w:rPr>
              <w:t>determine</w:t>
            </w:r>
            <w:proofErr w:type="spellEnd"/>
            <w:r>
              <w:rPr>
                <w:rFonts w:ascii="Times New Roman" w:eastAsia="Times New Roman" w:hAnsi="Times New Roman" w:cs="Times New Roman"/>
                <w:sz w:val="16"/>
                <w:szCs w:val="16"/>
              </w:rPr>
              <w:t xml:space="preserve"> di liquidazione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Bilancio, tesoreria, cassa, istituti di credito e verifiche contabili</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Bilanci o programmi annuali e conti consuntivi (in originale o nell’unica copia esistente)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Giornale di cassa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Convenzione di cassa con Istituto Cassiere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Rapporti con Istituto Cassiere (corrispondenza)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VI.3.5</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Distinte di trasmissione al Tesoriere di reversali e mandati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VI.3.6</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Estratti conto bancari e postali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VI.3.7</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operazioni di conto corrente postale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VI.3.8</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Bollettini di conto corrente postale, ricevute di versamento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VI.3.9</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l'insediamento dei Revisori dei conti</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la tassa di raccolta rifiuti e Modello Unico Dichiarazione Ambientale (MUD)</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Contributi – modello DM/10- INPS tabulati riepilogativi imponibili,</w:t>
            </w:r>
            <w:r>
              <w:rPr>
                <w:rFonts w:ascii="Times New Roman" w:eastAsia="Times New Roman" w:hAnsi="Times New Roman" w:cs="Times New Roman"/>
                <w:sz w:val="16"/>
                <w:szCs w:val="16"/>
              </w:rPr>
              <w:br/>
              <w:t>regolarizzazioni contributive – personale, rapporti con INPS MODELLI EMENS (Denunce Retributive Mensili)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01/M (copia del datore di lavoro)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Archiviato nel fascicolo personale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D.M.A Denuncia mensile analitica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VI.4.5</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FONDO ESPERO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VI.4.6</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Modelli 101 – Modelli CUD – Modelli CU</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Archiviati nel Fascicolo personale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VI.4.7</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770</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VI.4.8</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Denunce annuali IRAP</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VI.4.9</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Dichiarazione IVA</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Assicurazioni</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VI.5.1</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polizze assicurative</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Utilizzo beni terzi, comodato</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in uso (di proprietà di altri enti)</w:t>
            </w:r>
            <w:r>
              <w:rPr>
                <w:rFonts w:ascii="Times New Roman" w:eastAsia="Times New Roman" w:hAnsi="Times New Roman" w:cs="Times New Roman"/>
                <w:sz w:val="16"/>
                <w:szCs w:val="16"/>
              </w:rPr>
              <w:br/>
              <w:t xml:space="preserve">- atti relativi a locazione e comodati degli immobili (sia di proprietà sia </w:t>
            </w:r>
            <w:r>
              <w:rPr>
                <w:rFonts w:ascii="Times New Roman" w:eastAsia="Times New Roman" w:hAnsi="Times New Roman" w:cs="Times New Roman"/>
                <w:sz w:val="16"/>
                <w:szCs w:val="16"/>
              </w:rPr>
              <w:lastRenderedPageBreak/>
              <w:t>appartenenti ad altri enti)</w:t>
            </w:r>
            <w:r>
              <w:rPr>
                <w:rFonts w:ascii="Times New Roman" w:eastAsia="Times New Roman" w:hAnsi="Times New Roman" w:cs="Times New Roman"/>
                <w:sz w:val="16"/>
                <w:szCs w:val="16"/>
              </w:rPr>
              <w:br/>
              <w:t>- progetti tecnici, planimetrie, verbali e perizie di collaudo, autorizzazioni e certificazioni relative alla sicurezza e alla messa a norma dei locali e degli impianti (L. 626/94)</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in uso (di proprietà di altri enti)</w:t>
            </w:r>
            <w:r>
              <w:rPr>
                <w:rFonts w:ascii="Times New Roman" w:eastAsia="Times New Roman" w:hAnsi="Times New Roman" w:cs="Times New Roman"/>
                <w:sz w:val="16"/>
                <w:szCs w:val="16"/>
              </w:rPr>
              <w:br/>
              <w:t>- documentazione pervenuta in copia dagli enti proprietari, non compresa in quella descritta al punto A5/2</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Inventario e rendiconto patrimoniale</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consegna ed elenchi di consistenza di archivi o altri beni inventariati</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di scuole confluite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decennali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Rivalutazioni patrimoniali quinquennali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VI.7.5</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dei passaggi di consegna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VI.8</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Infrastrutture e logistica (plessi, succursali)</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VI.8.1</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di proprietà</w:t>
            </w:r>
            <w:r>
              <w:rPr>
                <w:rFonts w:ascii="Times New Roman" w:eastAsia="Times New Roman" w:hAnsi="Times New Roman" w:cs="Times New Roman"/>
                <w:sz w:val="16"/>
                <w:szCs w:val="16"/>
              </w:rPr>
              <w:br/>
              <w:t>- progetti tecnici, contratti di costruzione, ristrutturazione e manutenzione</w:t>
            </w:r>
            <w:r>
              <w:rPr>
                <w:rFonts w:ascii="Times New Roman" w:eastAsia="Times New Roman" w:hAnsi="Times New Roman" w:cs="Times New Roman"/>
                <w:sz w:val="16"/>
                <w:szCs w:val="16"/>
              </w:rPr>
              <w:br/>
              <w:t>- verbali e perizie di collaudo, autorizzazioni e certificazioni relative alla sicurezza e alla messa a norma dei locali e degli impianti (L.626/94)</w:t>
            </w:r>
            <w:r>
              <w:rPr>
                <w:rFonts w:ascii="Times New Roman" w:eastAsia="Times New Roman" w:hAnsi="Times New Roman" w:cs="Times New Roman"/>
                <w:sz w:val="16"/>
                <w:szCs w:val="16"/>
              </w:rPr>
              <w:br/>
              <w:t>- atti relativi a donazioni, acquisti e vendite di immobili di proprietà</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DVR e sicurezza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valutazione dei rischi (L.626/94) e relativi allegati (es. piani di evacuazione, controlli periodici, nomine, ecc.)</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Protocolli di sicurezza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Beni mobili e servizi</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per fornitura di materiali e per espletamento di servizi</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VI.10.2</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di prestazione d’opera di varia natura</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I.5.6)</w:t>
            </w:r>
          </w:p>
        </w:tc>
      </w:tr>
    </w:tbl>
    <w:p w:rsidR="00512A5A" w:rsidRDefault="00512A5A">
      <w:pPr>
        <w:spacing w:after="160" w:line="259" w:lineRule="auto"/>
        <w:rPr>
          <w:rFonts w:ascii="Times New Roman" w:eastAsia="Times New Roman" w:hAnsi="Times New Roman" w:cs="Times New Roman"/>
        </w:rPr>
      </w:pPr>
    </w:p>
    <w:tbl>
      <w:tblPr>
        <w:tblStyle w:val="a9"/>
        <w:tblW w:w="1081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570"/>
        <w:gridCol w:w="1740"/>
        <w:gridCol w:w="480"/>
        <w:gridCol w:w="5025"/>
        <w:gridCol w:w="3000"/>
      </w:tblGrid>
      <w:tr w:rsidR="00512A5A">
        <w:trPr>
          <w:trHeight w:val="283"/>
          <w:jc w:val="center"/>
        </w:trPr>
        <w:tc>
          <w:tcPr>
            <w:tcW w:w="231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50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57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7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48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025"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57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VI.10</w:t>
            </w:r>
          </w:p>
        </w:tc>
        <w:tc>
          <w:tcPr>
            <w:tcW w:w="17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Beni mobili e servizi</w:t>
            </w:r>
          </w:p>
        </w:tc>
        <w:tc>
          <w:tcPr>
            <w:tcW w:w="48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VI.10.3</w:t>
            </w:r>
          </w:p>
        </w:tc>
        <w:tc>
          <w:tcPr>
            <w:tcW w:w="5025"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d’acquisto, generi di refezione / di consumo</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VI.10.4</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Abbonamenti e/o acquisti a giornali, riviste e pubblicazioni: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gli elenchi dei periodici in abbonamento e delle pubblicazioni acquistate</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VI.10.5</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attrezzature, materiale, interventi di manutenzione: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VI.10.6</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materiale di consumo: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 relativi Registri di materiale facile consumo (vedi I.5.8)</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VI.10.7</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collaudo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VI.10.8</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garanzia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VI.10.9</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Dotazioni strumentali: richieste di intervento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w:t>
            </w:r>
            <w:r>
              <w:rPr>
                <w:rFonts w:ascii="Times New Roman" w:eastAsia="Times New Roman" w:hAnsi="Times New Roman" w:cs="Times New Roman"/>
                <w:sz w:val="16"/>
                <w:szCs w:val="16"/>
              </w:rPr>
              <w:lastRenderedPageBreak/>
              <w:t>0.10</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“Libretto di macchina” degli autoveicoli in dotazione presso l’istituto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VI.10.11</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(elettricità, ecc.)</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VI.10.12</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Impianti ed attrezzature durevoli: disegni tecnici, progetti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ILLIMITATA</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VI.10.13</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carico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Scartabili dopo la dismissione del bene </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VI.10.14</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scarico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10 anni dalla dismissione del bene o in sede di rinnovo degli inventari</w:t>
            </w:r>
          </w:p>
        </w:tc>
      </w:tr>
      <w:tr w:rsidR="00512A5A">
        <w:trPr>
          <w:trHeight w:val="283"/>
          <w:jc w:val="center"/>
        </w:trPr>
        <w:tc>
          <w:tcPr>
            <w:tcW w:w="57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17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Sistemi informatici, telematici e fonia</w:t>
            </w:r>
          </w:p>
        </w:tc>
        <w:tc>
          <w:tcPr>
            <w:tcW w:w="48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VI.11.1</w:t>
            </w:r>
          </w:p>
        </w:tc>
        <w:tc>
          <w:tcPr>
            <w:tcW w:w="5025"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di fonia</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57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VI.11.2</w:t>
            </w:r>
          </w:p>
        </w:tc>
        <w:tc>
          <w:tcPr>
            <w:tcW w:w="5025"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licenze software</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rPr>
          <w:rFonts w:ascii="Times New Roman" w:eastAsia="Times New Roman" w:hAnsi="Times New Roman" w:cs="Times New Roman"/>
          <w:sz w:val="28"/>
          <w:szCs w:val="28"/>
        </w:rPr>
      </w:pPr>
      <w:r>
        <w:br w:type="page"/>
      </w:r>
    </w:p>
    <w:p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lastRenderedPageBreak/>
        <w:t>I LIVELLO: Personale</w:t>
      </w:r>
    </w:p>
    <w:tbl>
      <w:tblPr>
        <w:tblStyle w:val="aa"/>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Organici, lavoratori socialmente utili, graduatorie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assunzione personale</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interne del personale in servizio</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d’Istituto per supplenze personale docente e non docente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inserimento in graduatoria d’Istituto, con relativa documentazione, inerenti graduatorie non più in vigore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 della relativa graduatoria conservando a disposizione degli interessati eventuali titoli di studio allegati in originale</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supplenza e relative graduatorie in calce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VII.1.6</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Decreti di esclusione dalla graduatoria e decreti di rettifica del punteggio</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individuali del personale docente e non docente in servizio, in quiescenza, di ruolo e non di ruolo (ora T.I. e T.D.):</w:t>
            </w:r>
            <w:r>
              <w:rPr>
                <w:rFonts w:ascii="Times New Roman" w:eastAsia="Times New Roman" w:hAnsi="Times New Roman" w:cs="Times New Roman"/>
                <w:sz w:val="16"/>
                <w:szCs w:val="16"/>
              </w:rPr>
              <w:br/>
              <w:t>- Decreti di nomina e contratti individuali</w:t>
            </w:r>
            <w:r>
              <w:rPr>
                <w:rFonts w:ascii="Times New Roman" w:eastAsia="Times New Roman" w:hAnsi="Times New Roman" w:cs="Times New Roman"/>
                <w:sz w:val="16"/>
                <w:szCs w:val="16"/>
              </w:rPr>
              <w:br/>
              <w:t>- Presa di servizio</w:t>
            </w:r>
            <w:r>
              <w:rPr>
                <w:rFonts w:ascii="Times New Roman" w:eastAsia="Times New Roman" w:hAnsi="Times New Roman" w:cs="Times New Roman"/>
                <w:sz w:val="16"/>
                <w:szCs w:val="16"/>
              </w:rPr>
              <w:br/>
              <w:t>- Decreti di trasferimento</w:t>
            </w:r>
            <w:r>
              <w:rPr>
                <w:rFonts w:ascii="Times New Roman" w:eastAsia="Times New Roman" w:hAnsi="Times New Roman" w:cs="Times New Roman"/>
                <w:sz w:val="16"/>
                <w:szCs w:val="16"/>
              </w:rPr>
              <w:br/>
              <w:t>- Certificati di nascita e residenza del personale di ruolo</w:t>
            </w:r>
            <w:r>
              <w:rPr>
                <w:rFonts w:ascii="Times New Roman" w:eastAsia="Times New Roman" w:hAnsi="Times New Roman" w:cs="Times New Roman"/>
                <w:sz w:val="16"/>
                <w:szCs w:val="16"/>
              </w:rPr>
              <w:br/>
              <w:t>- Stato di famiglia e relativa documentazione</w:t>
            </w:r>
            <w:r>
              <w:rPr>
                <w:rFonts w:ascii="Times New Roman" w:eastAsia="Times New Roman" w:hAnsi="Times New Roman" w:cs="Times New Roman"/>
                <w:sz w:val="16"/>
                <w:szCs w:val="16"/>
              </w:rPr>
              <w:br/>
              <w:t>- Certificati di sana e robusta costituzione</w:t>
            </w:r>
            <w:r>
              <w:rPr>
                <w:rFonts w:ascii="Times New Roman" w:eastAsia="Times New Roman" w:hAnsi="Times New Roman" w:cs="Times New Roman"/>
                <w:sz w:val="16"/>
                <w:szCs w:val="16"/>
              </w:rPr>
              <w:br/>
              <w:t>- Lettere di invito per l’assegnazione della sede</w:t>
            </w:r>
            <w:r>
              <w:rPr>
                <w:rFonts w:ascii="Times New Roman" w:eastAsia="Times New Roman" w:hAnsi="Times New Roman" w:cs="Times New Roman"/>
                <w:sz w:val="16"/>
                <w:szCs w:val="16"/>
              </w:rPr>
              <w:br/>
              <w:t>- Ordini di servizio individuali</w:t>
            </w:r>
          </w:p>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Decreti (per congedi maternità anticipata, ecc.)</w:t>
            </w:r>
            <w:r>
              <w:rPr>
                <w:rFonts w:ascii="Times New Roman" w:eastAsia="Times New Roman" w:hAnsi="Times New Roman" w:cs="Times New Roman"/>
                <w:sz w:val="16"/>
                <w:szCs w:val="16"/>
              </w:rPr>
              <w:br/>
              <w:t>- Decreti congedi parentali</w:t>
            </w:r>
            <w:r>
              <w:rPr>
                <w:rFonts w:ascii="Times New Roman" w:eastAsia="Times New Roman" w:hAnsi="Times New Roman" w:cs="Times New Roman"/>
                <w:sz w:val="16"/>
                <w:szCs w:val="16"/>
              </w:rPr>
              <w:br/>
              <w:t>- Decreti congedi straordinari</w:t>
            </w:r>
            <w:r>
              <w:rPr>
                <w:rFonts w:ascii="Times New Roman" w:eastAsia="Times New Roman" w:hAnsi="Times New Roman" w:cs="Times New Roman"/>
                <w:sz w:val="16"/>
                <w:szCs w:val="16"/>
              </w:rPr>
              <w:br/>
              <w:t>- Permessi</w:t>
            </w:r>
            <w:r>
              <w:rPr>
                <w:rFonts w:ascii="Times New Roman" w:eastAsia="Times New Roman" w:hAnsi="Times New Roman" w:cs="Times New Roman"/>
                <w:sz w:val="16"/>
                <w:szCs w:val="16"/>
              </w:rPr>
              <w:br/>
              <w:t>- Decreti aspettative</w:t>
            </w:r>
            <w:r>
              <w:rPr>
                <w:rFonts w:ascii="Times New Roman" w:eastAsia="Times New Roman" w:hAnsi="Times New Roman" w:cs="Times New Roman"/>
                <w:sz w:val="16"/>
                <w:szCs w:val="16"/>
              </w:rPr>
              <w:br/>
              <w:t>- Titoli di studio, attestati di partecipazione a corsi di formazione, aggiornamento, ecc.</w:t>
            </w:r>
            <w:r>
              <w:rPr>
                <w:rFonts w:ascii="Times New Roman" w:eastAsia="Times New Roman" w:hAnsi="Times New Roman" w:cs="Times New Roman"/>
                <w:sz w:val="16"/>
                <w:szCs w:val="16"/>
              </w:rPr>
              <w:br/>
              <w:t>- Posizioni previdenziali, stipendiali, tributarie</w:t>
            </w:r>
            <w:r>
              <w:rPr>
                <w:rFonts w:ascii="Times New Roman" w:eastAsia="Times New Roman" w:hAnsi="Times New Roman" w:cs="Times New Roman"/>
                <w:sz w:val="16"/>
                <w:szCs w:val="16"/>
              </w:rPr>
              <w:br/>
              <w:t>- Riscatto periodi assicurativi</w:t>
            </w:r>
            <w:r>
              <w:rPr>
                <w:rFonts w:ascii="Times New Roman" w:eastAsia="Times New Roman" w:hAnsi="Times New Roman" w:cs="Times New Roman"/>
                <w:sz w:val="16"/>
                <w:szCs w:val="16"/>
              </w:rPr>
              <w:br/>
              <w:t>- Cessione “quinto” dello stipendio</w:t>
            </w:r>
            <w:r>
              <w:rPr>
                <w:rFonts w:ascii="Times New Roman" w:eastAsia="Times New Roman" w:hAnsi="Times New Roman" w:cs="Times New Roman"/>
                <w:sz w:val="16"/>
                <w:szCs w:val="16"/>
              </w:rPr>
              <w:br/>
              <w:t>- Modello 01/M</w:t>
            </w:r>
            <w:r>
              <w:rPr>
                <w:rFonts w:ascii="Times New Roman" w:eastAsia="Times New Roman" w:hAnsi="Times New Roman" w:cs="Times New Roman"/>
                <w:sz w:val="16"/>
                <w:szCs w:val="16"/>
              </w:rPr>
              <w:br/>
              <w:t xml:space="preserve">- Modello 101 e CUD </w:t>
            </w:r>
            <w:r>
              <w:rPr>
                <w:rFonts w:ascii="Times New Roman" w:eastAsia="Times New Roman" w:hAnsi="Times New Roman" w:cs="Times New Roman"/>
                <w:sz w:val="16"/>
                <w:szCs w:val="16"/>
              </w:rPr>
              <w:br/>
              <w:t>- Richieste accertamenti sanitari (visite fiscali e collegiali, referti)</w:t>
            </w:r>
          </w:p>
        </w:tc>
        <w:tc>
          <w:tcPr>
            <w:tcW w:w="29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600201">
      <w:pPr>
        <w:spacing w:after="160" w:line="259" w:lineRule="auto"/>
        <w:rPr>
          <w:rFonts w:ascii="Times New Roman" w:eastAsia="Times New Roman" w:hAnsi="Times New Roman" w:cs="Times New Roman"/>
        </w:rPr>
      </w:pPr>
      <w:r>
        <w:br w:type="page"/>
      </w:r>
    </w:p>
    <w:tbl>
      <w:tblPr>
        <w:tblStyle w:val="ab"/>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VII.2.2</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Accertamenti individuali infortuni e malattie professionali (documentazione sanitaria e tecnica)</w:t>
            </w:r>
            <w:r>
              <w:rPr>
                <w:rFonts w:ascii="Times New Roman" w:eastAsia="Times New Roman" w:hAnsi="Times New Roman" w:cs="Times New Roman"/>
                <w:sz w:val="16"/>
                <w:szCs w:val="16"/>
              </w:rPr>
              <w:br/>
              <w:t xml:space="preserve">- Azioni legali del singolo dipendente </w:t>
            </w:r>
          </w:p>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Pensione e trattamento di quiescenza</w:t>
            </w:r>
            <w:r>
              <w:rPr>
                <w:rFonts w:ascii="Times New Roman" w:eastAsia="Times New Roman" w:hAnsi="Times New Roman" w:cs="Times New Roman"/>
                <w:sz w:val="16"/>
                <w:szCs w:val="16"/>
              </w:rPr>
              <w:br/>
              <w:t>- Certificati di servizio</w:t>
            </w:r>
            <w:r>
              <w:rPr>
                <w:rFonts w:ascii="Times New Roman" w:eastAsia="Times New Roman" w:hAnsi="Times New Roman" w:cs="Times New Roman"/>
                <w:sz w:val="16"/>
                <w:szCs w:val="16"/>
              </w:rPr>
              <w:br/>
              <w:t>- Domande di trasferimento</w:t>
            </w:r>
            <w:r>
              <w:rPr>
                <w:rFonts w:ascii="Times New Roman" w:eastAsia="Times New Roman" w:hAnsi="Times New Roman" w:cs="Times New Roman"/>
                <w:sz w:val="16"/>
                <w:szCs w:val="16"/>
              </w:rPr>
              <w:br/>
              <w:t>- Permessi di studio</w:t>
            </w:r>
            <w:r>
              <w:rPr>
                <w:rFonts w:ascii="Times New Roman" w:eastAsia="Times New Roman" w:hAnsi="Times New Roman" w:cs="Times New Roman"/>
                <w:sz w:val="16"/>
                <w:szCs w:val="16"/>
              </w:rPr>
              <w:br/>
              <w:t>- Domande scatti anticipati</w:t>
            </w:r>
            <w:r>
              <w:rPr>
                <w:rFonts w:ascii="Times New Roman" w:eastAsia="Times New Roman" w:hAnsi="Times New Roman" w:cs="Times New Roman"/>
                <w:sz w:val="16"/>
                <w:szCs w:val="16"/>
              </w:rPr>
              <w:br/>
              <w:t>- Autorizzazioni varie (lezioni private, esercizio a libere professioni, collaborazioni plurime, ecc.)</w:t>
            </w:r>
            <w:r>
              <w:rPr>
                <w:rFonts w:ascii="Times New Roman" w:eastAsia="Times New Roman" w:hAnsi="Times New Roman" w:cs="Times New Roman"/>
                <w:sz w:val="16"/>
                <w:szCs w:val="16"/>
              </w:rPr>
              <w:br/>
              <w:t>- Rilascio della tessera ministeriale (ferroviaria)</w:t>
            </w:r>
            <w:r>
              <w:rPr>
                <w:rFonts w:ascii="Times New Roman" w:eastAsia="Times New Roman" w:hAnsi="Times New Roman" w:cs="Times New Roman"/>
                <w:sz w:val="16"/>
                <w:szCs w:val="16"/>
              </w:rPr>
              <w:br/>
              <w:t>- Certificato del casellario giudiziale</w:t>
            </w:r>
            <w:r>
              <w:rPr>
                <w:rFonts w:ascii="Times New Roman" w:eastAsia="Times New Roman" w:hAnsi="Times New Roman" w:cs="Times New Roman"/>
                <w:sz w:val="16"/>
                <w:szCs w:val="16"/>
              </w:rPr>
              <w:br/>
              <w:t>- Decreto di conferma in ruolo</w:t>
            </w:r>
            <w:r>
              <w:rPr>
                <w:rFonts w:ascii="Times New Roman" w:eastAsia="Times New Roman" w:hAnsi="Times New Roman" w:cs="Times New Roman"/>
                <w:sz w:val="16"/>
                <w:szCs w:val="16"/>
              </w:rPr>
              <w:br/>
              <w:t>- Domande di ricostruzione di carriera</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VII.2.3</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Copie certificati di servizio</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Trattamento giuridico‐economico</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Tabelle stipendi (nominative)</w:t>
            </w:r>
            <w:r>
              <w:rPr>
                <w:rFonts w:ascii="Times New Roman" w:eastAsia="Times New Roman" w:hAnsi="Times New Roman" w:cs="Times New Roman"/>
                <w:sz w:val="16"/>
                <w:szCs w:val="16"/>
              </w:rPr>
              <w:br/>
              <w:t>Tabulati mensili riepilogativi retribuzioni</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Compensi per lavoro straordinario, gruppi sportivi, funzioni strumentali e aggiuntive, incarichi specifici, funzioni miste, ore straordinarie per sostituzione colleghi assenti, ore di insegnamento aggiuntive, ore funzionali di non insegnamento, compensi da fondo istituto, o da fondi esterni, ecc.</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VII.3.3</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Acconti e conguagli per il personale, riepiloghi</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val="restart"/>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w:t>
            </w:r>
          </w:p>
        </w:tc>
        <w:tc>
          <w:tcPr>
            <w:tcW w:w="1640" w:type="dxa"/>
            <w:vMerge w:val="restart"/>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Assenze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Fogli di presenza e altri documenti per la rilevazione delle presenze</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salvo contenzioso</w:t>
            </w:r>
          </w:p>
        </w:tc>
      </w:tr>
      <w:tr w:rsidR="00512A5A">
        <w:trPr>
          <w:trHeight w:val="283"/>
          <w:jc w:val="center"/>
        </w:trPr>
        <w:tc>
          <w:tcPr>
            <w:tcW w:w="600" w:type="dxa"/>
            <w:vMerge/>
            <w:tcBorders>
              <w:top w:val="single" w:sz="4" w:space="0" w:color="002060"/>
              <w:left w:val="single" w:sz="12" w:space="0" w:color="002060"/>
              <w:bottom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ferie (congedo ordinario), permessi brevi</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Formazione, aggiornamento e sviluppo professionale</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Aggiornamento personale</w:t>
            </w:r>
            <w:r>
              <w:rPr>
                <w:rFonts w:ascii="Times New Roman" w:eastAsia="Times New Roman" w:hAnsi="Times New Roman" w:cs="Times New Roman"/>
                <w:sz w:val="16"/>
                <w:szCs w:val="16"/>
              </w:rPr>
              <w:br/>
              <w:t>- programmi</w:t>
            </w:r>
            <w:r>
              <w:rPr>
                <w:rFonts w:ascii="Times New Roman" w:eastAsia="Times New Roman" w:hAnsi="Times New Roman" w:cs="Times New Roman"/>
                <w:sz w:val="16"/>
                <w:szCs w:val="16"/>
              </w:rPr>
              <w:br/>
              <w:t>- relazioni finali</w:t>
            </w:r>
            <w:r>
              <w:rPr>
                <w:rFonts w:ascii="Times New Roman" w:eastAsia="Times New Roman" w:hAnsi="Times New Roman" w:cs="Times New Roman"/>
                <w:sz w:val="16"/>
                <w:szCs w:val="16"/>
              </w:rPr>
              <w:br/>
              <w:t>- dispense</w:t>
            </w:r>
            <w:r>
              <w:rPr>
                <w:rFonts w:ascii="Times New Roman" w:eastAsia="Times New Roman" w:hAnsi="Times New Roman" w:cs="Times New Roman"/>
                <w:sz w:val="16"/>
                <w:szCs w:val="16"/>
              </w:rPr>
              <w:br/>
              <w:t>- firme presenza</w:t>
            </w:r>
            <w:r>
              <w:rPr>
                <w:rFonts w:ascii="Times New Roman" w:eastAsia="Times New Roman" w:hAnsi="Times New Roman" w:cs="Times New Roman"/>
                <w:sz w:val="16"/>
                <w:szCs w:val="16"/>
              </w:rPr>
              <w:br/>
              <w:t>- attestati</w:t>
            </w:r>
          </w:p>
        </w:tc>
        <w:tc>
          <w:tcPr>
            <w:tcW w:w="29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bookmarkStart w:id="3" w:name="_1fob9te" w:colFirst="0" w:colLast="0"/>
            <w:bookmarkEnd w:id="3"/>
            <w:r>
              <w:rPr>
                <w:rFonts w:ascii="Times New Roman" w:eastAsia="Times New Roman" w:hAnsi="Times New Roman" w:cs="Times New Roman"/>
                <w:b/>
                <w:sz w:val="16"/>
                <w:szCs w:val="16"/>
              </w:rPr>
              <w:t>Obiettivi, incarichi, valutazione e disciplina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Ruoli del personale: documenti istruttori e deliberativi, albi, elenchi, registri, ecc.</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 docenti e personale ATA</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Sorveglianza sanitaria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Accertamenti sanitari e tecnici: documentazione relativa a malattie professionali, ecc.</w:t>
            </w:r>
          </w:p>
        </w:tc>
        <w:tc>
          <w:tcPr>
            <w:tcW w:w="29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tbl>
      <w:tblPr>
        <w:tblStyle w:val="ac"/>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Collaboratori esterni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 esperti esterni</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VII.8.2</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agli esperti (CV, dichiarazioni altri incarichi, insussistenza conflitti di interesse, contratto d’incarico, ecc.)</w:t>
            </w:r>
          </w:p>
        </w:tc>
        <w:tc>
          <w:tcPr>
            <w:tcW w:w="29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p w:rsidR="00512A5A" w:rsidRDefault="00600201">
      <w:pPr>
        <w:spacing w:before="240" w:after="240"/>
        <w:rPr>
          <w:rFonts w:ascii="Times New Roman" w:eastAsia="Times New Roman" w:hAnsi="Times New Roman" w:cs="Times New Roman"/>
          <w:b/>
          <w:color w:val="0066B3"/>
          <w:sz w:val="36"/>
          <w:szCs w:val="36"/>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sz w:val="12"/>
          <w:szCs w:val="12"/>
        </w:rPr>
      </w:pPr>
      <w:r>
        <w:rPr>
          <w:rFonts w:ascii="Times New Roman" w:eastAsia="Times New Roman" w:hAnsi="Times New Roman" w:cs="Times New Roman"/>
          <w:b/>
          <w:color w:val="0066B3"/>
          <w:sz w:val="36"/>
          <w:szCs w:val="36"/>
        </w:rPr>
        <w:t>7.4 – Elenco dei documenti soggetti a registrazione particolare per tutte le amministrazioni</w:t>
      </w:r>
      <w:r>
        <w:rPr>
          <w:rFonts w:ascii="Times New Roman" w:eastAsia="Times New Roman" w:hAnsi="Times New Roman" w:cs="Times New Roman"/>
          <w:sz w:val="12"/>
          <w:szCs w:val="12"/>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relativi a vicende di persone o a fatti privati o particolari;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di carattere politico e di indirizzo che, se resi di pubblico dominio, possono ostacolare il raggiungimento degli obiettivi prefissati;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dalla cui contestuale pubblicità possa derivare pregiudizio a terzi o al buon andamento dell’attività amministrativa;</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documenti anonimi individuati ai sensi dell’art. 8, comma 4, e 141 del codice di procedura penale;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corrispondenza legata a vicende di persone o a fatti privati o particolari;</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tipologie di documenti individuati dall’art. 24 della legge 7 agosto 1990 n. 241, dall’art. 8 del DPR 27 giugno 1992 n. 352, nonché dalla legge 675/96 (e successive modifiche ed integrazioni) e norme collegate.</w:t>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7.5 – Trattamento delle registrazioni particolari: registri e modalità di gestione</w:t>
      </w:r>
    </w:p>
    <w:p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Non sono presenti registri specifici</w:t>
      </w:r>
    </w:p>
    <w:p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br w:type="page"/>
      </w:r>
    </w:p>
    <w:p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7.6 – Politiche di sicurezza</w:t>
      </w:r>
    </w:p>
    <w:p w:rsidR="00512A5A" w:rsidRDefault="00600201">
      <w:pPr>
        <w:spacing w:line="130" w:lineRule="auto"/>
        <w:ind w:right="-20"/>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P</w:t>
      </w:r>
      <w:r>
        <w:rPr>
          <w:rFonts w:ascii="Times New Roman" w:eastAsia="Times New Roman" w:hAnsi="Times New Roman" w:cs="Times New Roman"/>
          <w:color w:val="231F20"/>
          <w:sz w:val="18"/>
          <w:szCs w:val="18"/>
        </w:rPr>
        <w:t>OLITICHE ACCETTABILI DI USO DEL SISTEMA INFORMATICO</w:t>
      </w:r>
    </w:p>
    <w:p w:rsidR="00512A5A" w:rsidRDefault="00600201">
      <w:pPr>
        <w:spacing w:before="20"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1.1 Premessa</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L’incarico del Responsabile della Sicurezza (RS), o suo delegato, di pubblicare le politiche accettabili di uso, è quello di stabilire le regole per proteggere l’Amministrazione da azioni illegali o danneggiamenti effettuati da individui in modo consapevole o accidentale senza imporre restrizioni contrarie a quanto stabilito dall’Amministrazione in termini di apertura, fiducia e integrità del sistema informativo.</w:t>
      </w:r>
    </w:p>
    <w:p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Sono di proprietà dell’Amministrazione i sistemi di accesso ad Internet, l’Intranet, la Extranet ed i sistemi correlati, includendo in ciò anche i sistemi di elaborazione, la rete e gli apparati di rete, il software applicativo, i sistemi operativi, i sistemi di memorizzazione/archiviazione delle informazioni, il servizio di posta elettronica, i sistemi di accesso e navigazione in Internet, etc. Questi sistemi e/o servizi devono essere usati nel corso delle normali attività di ufficio solo per scopi istituzionali e nell’interesse dell’Amministrazione e in rapporto con possibili interlocutori della medesima.</w:t>
      </w:r>
    </w:p>
    <w:p w:rsidR="00512A5A" w:rsidRDefault="00600201">
      <w:pPr>
        <w:spacing w:before="4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L’efficacia e l’efficienza della sicurezza è uno sforzo di squadra che coinvolge la partecipazione ed il supporto di tutto il personale (impiegati funzionari e dirigenti) dell’Amministrazione ed i loro interlocutori che vivono con l’informazione del sistema informativo. È responsabilità di tutti gli utilizzatori del sistema informatico conoscere queste linee guida e comportarsi in accordo con le medesime.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1.2 Scopo</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sottolineare l’uso accettabile del sistema informatico dell’Amministrazione.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regole sono illustrate per proteggere gli impiegati e l’Amministrazione.</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L’uso non appropriato delle risorse strumentali espone l’Amministrazione al rischio di non poter svolgere i compiti istituzionali assegnati, a seguito, ad esempio, di virus, della compromissione di componenti del sistema informatico, ovvero di eventi disastrosi.</w:t>
      </w:r>
    </w:p>
    <w:p w:rsidR="00512A5A" w:rsidRDefault="00600201">
      <w:pPr>
        <w:spacing w:line="185" w:lineRule="auto"/>
        <w:ind w:right="-2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1.3 Ambito di applicazione</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1. Queste politiche si applicano a tutti gli impiegati dell’Amministrazione, al personale esterno (consulenti, personale a tempo determinato, ...) e agli impiegati della/e ditta/e &lt; </w:t>
      </w:r>
      <w:r>
        <w:rPr>
          <w:rFonts w:ascii="Times New Roman" w:eastAsia="Times New Roman" w:hAnsi="Times New Roman" w:cs="Times New Roman"/>
          <w:i/>
          <w:color w:val="231F20"/>
        </w:rPr>
        <w:t xml:space="preserve">inserire nome </w:t>
      </w:r>
      <w:r>
        <w:rPr>
          <w:rFonts w:ascii="Times New Roman" w:eastAsia="Times New Roman" w:hAnsi="Times New Roman" w:cs="Times New Roman"/>
          <w:color w:val="231F20"/>
        </w:rPr>
        <w:t>&gt; , includendo tutto il personale affiliato con terze parti.</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si applicano a tutti gli apparati che sono di proprietà dell’Amministrazione o “affittate” da questa.</w:t>
      </w:r>
    </w:p>
    <w:p w:rsidR="00512A5A" w:rsidRDefault="00600201">
      <w:pPr>
        <w:spacing w:line="185" w:lineRule="auto"/>
        <w:ind w:right="-2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1.4 Politiche – Uso generale e proprietà</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utenti del sistema informativo dovrebbero essere consapevoli che i dati da loro creati sui sistemi dell’Amministrazione e comunque trattati, rimangono di proprietà della medesima.</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Gli impiegati sono responsabili dell’uso corretto delle postazioni di lavoro assegnate e dei dati ivi conservati anche perché la gestione della rete (Intranet) non può garantire la confidenzialità </w:t>
      </w:r>
      <w:r>
        <w:rPr>
          <w:rFonts w:ascii="Times New Roman" w:eastAsia="Times New Roman" w:hAnsi="Times New Roman" w:cs="Times New Roman"/>
          <w:color w:val="231F20"/>
        </w:rPr>
        <w:lastRenderedPageBreak/>
        <w:t>dell’informazione memorizzata su ciascun componente ”personale” della rete dato che l’amministratore della rete ha solo il compito di fornire prestazioni elevate e un ragionevole livello di confidenzialità e integrità dei dati in transito.</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 singole aree o settori o Divisioni o Direzioni, sono responsabili della creazione di linee guida per l’uso personale di Internet/Intranet/Extranet. In caso di assenza di tali politiche gli impiegati dovrebbero essere guidati dalle politiche generali dell’Amministrazione e in caso di incertezza, dovrebbero consultare il loro Dirigente.</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Per garantire la manutenzione della sicurezza e della rete, soggetti autorizzati dall’Amministrazione (di norma amministratori di rete) possono monitorare gli apparati, i sistemi ed il traffico in rete in ogni momento.</w:t>
      </w:r>
    </w:p>
    <w:p w:rsidR="00512A5A" w:rsidRDefault="00600201">
      <w:pPr>
        <w:spacing w:before="40" w:line="294"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Per i motivi di cui sopra l’Amministrazione si riserva il diritto di controllare la rete ed i sistemi per un determinato periodo per assicurare la conformità con queste politiche.</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1.5 Politiche Sicurezza e proprietà dell’informazione</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dovrebbe porre particolare attenzione in tutti i momenti in cui ha luogo un trattamento delle informazioni per prevenire accessi non autorizzati alle informazioni.</w:t>
      </w:r>
    </w:p>
    <w:p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Mantenere le credenziali di accesso (normalmente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xml:space="preserve"> e password) in modo sicuro e non condividerle con nessuno. Gli utenti autorizzati ad utilizzare il sistema informativo sono responsabili dell’uso delle proprie credenziali, componente pubblica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e privata (password). Le password dovrebbero essere cambiate con il primo accesso al sistema informativo e successivamente, al minimo ogni quattro mesi, ad eccezione di coloro che trattano dati personali sensibili o giudiziari per i quali il periodo si riduce a tre mesi.</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Tutte le postazioni di lavoro (PC da tavolo e portatili) dovrebbero essere rese inaccessibili a terzi quando non utilizzate dai titolari per un periodo massimo di dieci minuti attraverso l’attivazione automatica del salva schermo protetto da password o la messa in </w:t>
      </w:r>
      <w:r>
        <w:rPr>
          <w:rFonts w:ascii="Times New Roman" w:eastAsia="Times New Roman" w:hAnsi="Times New Roman" w:cs="Times New Roman"/>
          <w:i/>
          <w:color w:val="231F20"/>
        </w:rPr>
        <w:t xml:space="preserve">stand-by </w:t>
      </w:r>
      <w:r>
        <w:rPr>
          <w:rFonts w:ascii="Times New Roman" w:eastAsia="Times New Roman" w:hAnsi="Times New Roman" w:cs="Times New Roman"/>
          <w:color w:val="231F20"/>
        </w:rPr>
        <w:t>con un comando specifico.</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Uso delle tecniche e della modalità di cifratura dei file coerentemente a quanto descritto in materia di confidenzialità dall’Amministrazione.</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Poiché le informazioni archiviate nei PC portatili sono particolarmente vulnerabili su essi dovrebbero essere esercitate particolari attenzioni.</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6. Eventuali attività di scambio di opinioni del personale dell’Amministrazione all’interno di “</w:t>
      </w:r>
      <w:proofErr w:type="spellStart"/>
      <w:r>
        <w:rPr>
          <w:rFonts w:ascii="Times New Roman" w:eastAsia="Times New Roman" w:hAnsi="Times New Roman" w:cs="Times New Roman"/>
          <w:color w:val="231F20"/>
        </w:rPr>
        <w:t>new</w:t>
      </w:r>
      <w:proofErr w:type="spellEnd"/>
      <w:r>
        <w:rPr>
          <w:rFonts w:ascii="Times New Roman" w:eastAsia="Times New Roman" w:hAnsi="Times New Roman" w:cs="Times New Roman"/>
          <w:color w:val="231F20"/>
        </w:rPr>
        <w:t xml:space="preserve">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che utilizzano il sistema di posta elettronica dell’Amministrazione dovrebbero contenere una dichiarazione che affermi che le opinioni sono strettamente personali e non dell’Amministrazione a meno che non si tratti di discussioni inerenti e di interesse dell’Amministrazione eseguite per conto della medesima.</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Tutti i PC, i server ed i sistemi di elaborazione in genere, che sono connessi in rete interna dell’Amministrazione (Intranet) e/o esterna (Internet/Extranet) di proprietà dell’Amministrazione o del personale, devono essere dotati di un sistema antivirus approvato dal responsabile della sicurezza dell’Amministrazione ed aggiornato.</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Il personale deve usare la massima attenzione nell’apertura dei file allegati alla posta elettronica ricevuta da sconosciuti perché possono contenere virus, bombe logiche e cavalli di Troia.</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Non permettete ai colleghi, né tanto meno ad esterni, di operare sulla vostra postazione di lavoro con le vostre credenziali. Sempre voi risultate autori di qualunque azione.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2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z w:val="18"/>
          <w:szCs w:val="18"/>
        </w:rPr>
        <w:t>NTIVIRUS</w:t>
      </w:r>
    </w:p>
    <w:p w:rsidR="00512A5A" w:rsidRDefault="00600201">
      <w:pPr>
        <w:spacing w:before="20"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2.1 Premessa</w:t>
      </w:r>
    </w:p>
    <w:p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informatici costituiscono ancora oggi la causa principale di disservizio e di danno delle Amministrazioni.</w:t>
      </w:r>
    </w:p>
    <w:p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danni causati dai virus all’Amministrazione, di tipo diretto o indiretto, tangibili o intangibili, secondo le ultime statistiche degli incidenti informatici, sono i più alti rispetto ai danni di ogni altra minaccia.</w:t>
      </w:r>
    </w:p>
    <w:p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come noto, riproducendosi autonomamente, possono generare altri messaggi contagiati capaci di infettare, contro la volontà del mittente, altri sistemi con conseguenze negative per il mittente in termini di criminalità informatica e tutela dei dati personali.</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2.2 Scopo</w:t>
      </w:r>
    </w:p>
    <w:p w:rsidR="00512A5A" w:rsidRDefault="00600201">
      <w:pPr>
        <w:spacing w:before="4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Stabilire i requisiti che devono essere soddisfatti per collegare le risorse elaborative ad Internet/Intranet/Extranet dell’Amministrazione al fine di assicurare efficaci ed efficienti azioni preventive e consuntive contro i virus informatici.</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2.3 Ambito di applicazione</w:t>
      </w:r>
    </w:p>
    <w:p w:rsidR="00512A5A" w:rsidRDefault="00600201">
      <w:pPr>
        <w:spacing w:line="31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Queste politiche riguardano tutte le apparecchiature di rete, di sistema ed utente (PC) collegate ad Internet/Intranet/Extranet. Tutto il personale dell’Amministrazione è tenuto a rispettare le politiche di seguito richiamate.</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2.4 Politiche per le azioni preventive</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Deve essere sempre attivo su ciascuna postazione di lavoro un prodotto antivirus aggiornabile da un sito disponibile sulla Intranet dell’Amministrazione.</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Su ciascuna postazione deve essere sempre attiva la versione corrente e aggiornata con la più recente versione resa disponibile sul sito centralizzato.</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file o macro ricevuti con messaggi dal mittente sconosciuto, sospetto, ovvero palesemente non di fiducia. Cancellare immediatamente tali oggetti sia dalla posta che dal cestino.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messaggi ricevuti in risposta a messaggi “probabilmente” mai inviati.</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Cancellare immediatamente ogni messaggio che invita a continuare la catena di messaggi, o messaggi spazzatura.</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scaricare mai messaggi da siti o sorgenti sospette.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 xml:space="preserve">Evitate lo scambio diretto ed il riuso di supporti rimovibili (floppy disk, </w:t>
      </w:r>
      <w:proofErr w:type="spellStart"/>
      <w:r>
        <w:rPr>
          <w:rFonts w:ascii="Times New Roman" w:eastAsia="Times New Roman" w:hAnsi="Times New Roman" w:cs="Times New Roman"/>
          <w:color w:val="231F20"/>
        </w:rPr>
        <w:t>CD</w:t>
      </w:r>
      <w:proofErr w:type="spellEnd"/>
      <w:r>
        <w:rPr>
          <w:rFonts w:ascii="Times New Roman" w:eastAsia="Times New Roman" w:hAnsi="Times New Roman" w:cs="Times New Roman"/>
          <w:color w:val="231F20"/>
        </w:rPr>
        <w:t xml:space="preserve">, DVD, </w:t>
      </w:r>
      <w:proofErr w:type="spellStart"/>
      <w:r>
        <w:rPr>
          <w:rFonts w:ascii="Times New Roman" w:eastAsia="Times New Roman" w:hAnsi="Times New Roman" w:cs="Times New Roman"/>
          <w:color w:val="231F20"/>
        </w:rPr>
        <w:t>tape</w:t>
      </w:r>
      <w:proofErr w:type="spellEnd"/>
      <w:r>
        <w:rPr>
          <w:rFonts w:ascii="Times New Roman" w:eastAsia="Times New Roman" w:hAnsi="Times New Roman" w:cs="Times New Roman"/>
          <w:color w:val="231F20"/>
        </w:rPr>
        <w:t xml:space="preserve">, </w:t>
      </w:r>
      <w:proofErr w:type="spellStart"/>
      <w:r>
        <w:rPr>
          <w:rFonts w:ascii="Times New Roman" w:eastAsia="Times New Roman" w:hAnsi="Times New Roman" w:cs="Times New Roman"/>
          <w:color w:val="231F20"/>
        </w:rPr>
        <w:t>pen</w:t>
      </w:r>
      <w:proofErr w:type="spellEnd"/>
      <w:r>
        <w:rPr>
          <w:rFonts w:ascii="Times New Roman" w:eastAsia="Times New Roman" w:hAnsi="Times New Roman" w:cs="Times New Roman"/>
          <w:color w:val="231F20"/>
        </w:rPr>
        <w:t xml:space="preserve"> drive, etc.) con accesso in lettura e scrittura a meno che non sia espressamente formulato in alcune procedure dell’amministrazione e, anche in questo caso, verificare prima la bontà del supporto con un antivirus.</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l’uso di software gratuito (freeware o shareware) o documenti di testo prelevati da siti Internet o copiato dai CD/DVD in allegato a riviste.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l’utilizzo, non controllato, di uno stesso computer da parte di più persone.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collegamenti diretti ad Internet via modem.</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lastRenderedPageBreak/>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il proprio supporto di archiviazione rimovibile su di un altro computer se non in condizione di protezione in scrittura.</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Se si utilizza una postazione di lavoro che necessita di un “bootstrap” da supporti di archiviazione rimovibili, usare questo protetto in scrittura.</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 server di rete come stazioni di lavoro.</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aggiungere mai dati o file ai supporti di archiviazione rimovibili contenenti programmi originali.</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Effettuare una scansione della postazione di lavoro con l’antivirus prima di ricollegarla, per qualsiasi motivo (es, riparazione, prestito a colleghi o impiego esterno), alla Intranet dell’Organizzazione.</w:t>
      </w:r>
    </w:p>
    <w:p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Di seguito vengono riportati ulteriori criteri da seguire per ridurre al minimo la possibilità di contrarre virus informatici e di prevenirne la diffusione, destinati a tutto il personale dell’Amministrazione ed, eventualmente, all’esterno.</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Tutti gli incaricati del trattamento dei dati devono assicurarsi che i computer di soggetti terzi, esterni, qualora interagiscano con il sistema informatico dell’Amministrazione, siano dotati di adeguate misure di protezione antivirus.</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personale delle ditte addette alla manutenzione dei supporti informatici deve usare solo supporti rimovibili preventivamente controllati e certificati singolarmente ogni volta.</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supporti di archiviazione rimovibili provenienti dall’esterno devono essere sottoposti a verifica da attuare con una postazione di lavoro dedicata, non collegata in rete (macchina da quarantena).</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 xml:space="preserve">Il personale deve essere a conoscenza che la creazione e la diffusione, anche accidentale dei virus è punita dall’Articolo 615 </w:t>
      </w:r>
      <w:proofErr w:type="spellStart"/>
      <w:r>
        <w:rPr>
          <w:rFonts w:ascii="Times New Roman" w:eastAsia="Times New Roman" w:hAnsi="Times New Roman" w:cs="Times New Roman"/>
          <w:color w:val="231F20"/>
        </w:rPr>
        <w:t>quinquies</w:t>
      </w:r>
      <w:proofErr w:type="spellEnd"/>
      <w:r>
        <w:rPr>
          <w:rFonts w:ascii="Times New Roman" w:eastAsia="Times New Roman" w:hAnsi="Times New Roman" w:cs="Times New Roman"/>
          <w:color w:val="231F20"/>
        </w:rPr>
        <w:t xml:space="preserve"> del Codice penale concernente la “Diffusione di programmi diretti a danneggiare o interrompere un sistema informatico… [omissis]…che prevede la reclusione sino a due anni e la multa sino a lire venti milioni”.</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acquisito deve essere sempre controllato contro i virus e verificato perché sia di uso sicuro prima che sia installato.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È proibito l’uso di qualsiasi software diverso da quello fornito dall’Amministrazione.</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In questo ambito, al fine di minimizzare i rischi di distruzione anche accidentale dei dati a causa dei virus informatici, il RSP stabilisce le protezioni software da adottare sulla base dell’evoluzione delle tecnologie disponibili sul mercato.</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2.5 Politiche per le azioni consuntive</w:t>
      </w:r>
    </w:p>
    <w:p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Nel caso in cui su una o più postazioni di lavoro dovesse verificarsi perdita di informazioni, integrità o confidenzialità delle stesse a causa di infezione o contagio da virus informatici, il titolare della postazione interessata deve immediatamente isolare il sistema e poi notificare l’evento al responsabile della sicurezza, o suo delegato, che deve procedere a:</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ci sono altri sistemi infettati con lo stesso Virus Informatico;</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il virus ha diffuso dati;</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identificare il virus;</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attivare l’antivirus adatto ad eliminare il virus rilevato e bonificare il sistema infetto;</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installare l’Antivirus adatto su tutti gli altri sistemi che ne sono sprovvisti;</w:t>
      </w:r>
    </w:p>
    <w:p w:rsidR="00512A5A" w:rsidRDefault="00600201">
      <w:pPr>
        <w:spacing w:before="60"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diffondere la notizia dell’evento, all’interno dell’Amministrazione, nelle forme opportune.</w:t>
      </w:r>
    </w:p>
    <w:p w:rsidR="00512A5A" w:rsidRDefault="00600201">
      <w:pPr>
        <w:spacing w:before="20"/>
        <w:ind w:right="-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 xml:space="preserve"> </w:t>
      </w:r>
    </w:p>
    <w:p w:rsidR="00512A5A" w:rsidRDefault="00600201">
      <w:pPr>
        <w:spacing w:before="20"/>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3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U</w:t>
      </w:r>
      <w:r>
        <w:rPr>
          <w:rFonts w:ascii="Times New Roman" w:eastAsia="Times New Roman" w:hAnsi="Times New Roman" w:cs="Times New Roman"/>
          <w:color w:val="231F20"/>
          <w:sz w:val="18"/>
          <w:szCs w:val="18"/>
        </w:rPr>
        <w:t>SO NON ACCETTABILE</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line="271"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Le seguenti attività sono in generale proibite. Il personale può essere esentato da queste restrizioni in funzione del ruolo ricoperto all’interno dell’Amministrazione (ad esempio, nessuno può disconnettere e/o disabilitare le risorse ad eccezione degli amministratori di sistema o di rete).</w:t>
      </w:r>
    </w:p>
    <w:p w:rsidR="00512A5A" w:rsidRDefault="00600201">
      <w:pPr>
        <w:spacing w:before="60" w:line="27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 nessun caso o circostanza il personale è autorizzato a compiere attività illegali utilizzando le risorse di proprietà dell’Amministrazione.</w:t>
      </w:r>
    </w:p>
    <w:p w:rsidR="00512A5A" w:rsidRDefault="00600201">
      <w:pPr>
        <w:spacing w:before="20" w:line="316"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L’elenco seguente non vuole essere una lista esaustiva, ma un tentativo di fornire una struttura di riferimento per identificare attività illecite o comunque non accettabili.</w:t>
      </w:r>
    </w:p>
    <w:p w:rsidR="00512A5A" w:rsidRDefault="00600201">
      <w:pPr>
        <w:spacing w:line="19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3.1 Attività di rete e di sistema</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spacing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Violazioni dei diritti di proprietà intellettuale di persone o società, o diritti analoghi includendo, ma non limitando, l’installazione o la distribuzione di copie pirata o altri software prodotti che non sono espressamente licenziati per essere usati dall’Amministrazione.</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Copie non autorizzate di materiale protetto da copyright (diritto d’autore) includendo, ma non limitando, digitalizzazione e distribuzione di foto e immagini di riviste, libri, musica e ogni altro software tutelato per il quale l’Amministrazione o l’utente finale non ha una licenza attiva.</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È rigorosamente proibita l’esportazione di software, informazioni tecniche, tecnologia o software di cifratura, in violazione delle leggi nazionali ed internazionali.</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4.   </w:t>
      </w:r>
      <w:r>
        <w:rPr>
          <w:rFonts w:ascii="Times New Roman" w:eastAsia="Times New Roman" w:hAnsi="Times New Roman" w:cs="Times New Roman"/>
          <w:color w:val="231F20"/>
        </w:rPr>
        <w:tab/>
        <w:t>Introduzione di programmi maliziosi nella rete o nei sistemi dell’Amministrazione.</w:t>
      </w:r>
    </w:p>
    <w:p w:rsidR="00512A5A" w:rsidRDefault="00600201">
      <w:pPr>
        <w:spacing w:before="10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Rivelazione delle credenziali personali ad altri o permettere ad altri l’uso delle credenziali personali, includendo in ciò i familiari o altri membri della famiglia quando il lavoro d’ufficio è fatto da casa o a casa.</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6.    Usare un sistema dell’Amministrazione (PC o server) per acquisire o trasmettere materiale pedo-pornografico o che offende la morale o che è ostile alle leggi e regolamenti locali, nazionali o internazionali.</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Effettuare offerte fraudolente di prodotti, articoli o servizi originati da sistemi dell’Amministrazione con l’aggravante dell’uso di credenziali fornite dall’Amministrazione stessa.</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Effettuare affermazioni di garanzie, implicite o esplicite, a favore di terzi ad eccezione di quelle stabilite nell’ambito dei compiti assegnati.</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Realizzare brecce nelle difese periferiche della rete del sistema informativo dell’Amministrazione o distruzione della rete medesima, dove per brecce della sicurezza si intendono, in modo riduttivo:</w:t>
      </w:r>
    </w:p>
    <w:p w:rsidR="00512A5A" w:rsidRDefault="00600201">
      <w:pPr>
        <w:spacing w:before="60" w:line="34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a.         </w:t>
      </w:r>
      <w:r>
        <w:rPr>
          <w:rFonts w:ascii="Times New Roman" w:eastAsia="Times New Roman" w:hAnsi="Times New Roman" w:cs="Times New Roman"/>
          <w:color w:val="231F20"/>
        </w:rPr>
        <w:tab/>
        <w:t xml:space="preserve">accessi illeciti ai dati per i quali non si è ricevuta regolare autorizzazione, b.       </w:t>
      </w:r>
      <w:r>
        <w:rPr>
          <w:rFonts w:ascii="Times New Roman" w:eastAsia="Times New Roman" w:hAnsi="Times New Roman" w:cs="Times New Roman"/>
          <w:color w:val="231F20"/>
        </w:rPr>
        <w:tab/>
        <w:t>attività di “sniffing”;</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c.         </w:t>
      </w:r>
      <w:r>
        <w:rPr>
          <w:rFonts w:ascii="Times New Roman" w:eastAsia="Times New Roman" w:hAnsi="Times New Roman" w:cs="Times New Roman"/>
          <w:color w:val="231F20"/>
        </w:rPr>
        <w:tab/>
        <w:t>disturbo della trasmissione;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d.         </w:t>
      </w:r>
      <w:r>
        <w:rPr>
          <w:rFonts w:ascii="Times New Roman" w:eastAsia="Times New Roman" w:hAnsi="Times New Roman" w:cs="Times New Roman"/>
          <w:color w:val="231F20"/>
        </w:rPr>
        <w:tab/>
      </w:r>
      <w:proofErr w:type="spellStart"/>
      <w:r>
        <w:rPr>
          <w:rFonts w:ascii="Times New Roman" w:eastAsia="Times New Roman" w:hAnsi="Times New Roman" w:cs="Times New Roman"/>
          <w:color w:val="231F20"/>
        </w:rPr>
        <w:t>spoofing</w:t>
      </w:r>
      <w:proofErr w:type="spellEnd"/>
      <w:r>
        <w:rPr>
          <w:rFonts w:ascii="Times New Roman" w:eastAsia="Times New Roman" w:hAnsi="Times New Roman" w:cs="Times New Roman"/>
          <w:color w:val="231F20"/>
        </w:rPr>
        <w:t xml:space="preserve"> dei pacchetti;</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 xml:space="preserve">e.         </w:t>
      </w:r>
      <w:r>
        <w:rPr>
          <w:rFonts w:ascii="Times New Roman" w:eastAsia="Times New Roman" w:hAnsi="Times New Roman" w:cs="Times New Roman"/>
          <w:color w:val="231F20"/>
        </w:rPr>
        <w:tab/>
        <w:t>negazione del servizio;</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f.          </w:t>
      </w:r>
      <w:r>
        <w:rPr>
          <w:rFonts w:ascii="Times New Roman" w:eastAsia="Times New Roman" w:hAnsi="Times New Roman" w:cs="Times New Roman"/>
          <w:color w:val="231F20"/>
        </w:rPr>
        <w:tab/>
        <w:t>le modifiche delle mappe di instradamento dei pacchetti per scopi illeciti;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g.         </w:t>
      </w:r>
      <w:r>
        <w:rPr>
          <w:rFonts w:ascii="Times New Roman" w:eastAsia="Times New Roman" w:hAnsi="Times New Roman" w:cs="Times New Roman"/>
          <w:color w:val="231F20"/>
        </w:rPr>
        <w:tab/>
        <w:t>attività di scansione delle porte o del sistema di sicurezza è espressamente proibito salvo deroghe specifiche.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10. Eseguire qualsiasi forma di monitor di rete per intercettare i dati in transito.</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92"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11. Aggirare il sistema di autenticazione o di sicurezza della rete, dei server e delle applicazioni.</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12. Interferire o negare l’accesso ai servizi di ogni altro utente abilitato.</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92"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13. Usare o scrivere qualunque programma o comando o messaggio che possa interferire o con i servizi dell’Amministrazione o disabilitare sessioni di lavoro avviate da altri utenti di Internet/Intranet/Extranet.</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14. Fornire informazioni o liste di impiegati a terze parti esterne all’Amministrazione.</w:t>
      </w:r>
    </w:p>
    <w:p w:rsidR="00512A5A" w:rsidRDefault="00600201">
      <w:pPr>
        <w:spacing w:line="130" w:lineRule="auto"/>
        <w:ind w:right="-20"/>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3.2 Attività di messaggistica e comunicazione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Inviare messaggi di posta elettronica non sollecitati, includendo “messaggi spazzatura”, o altro materiale di avviso a persone che non hanno specificamente richiesto tale materiale (spamming).</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Ogni forma di molestia via e-mail o telefonica o con altri mezzi, linguaggio, durata, frequenza o dimensione del messaggio.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Uso non autorizzato delle informazioni della testata delle e-mail,</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Sollecitare messaggi di risposta a ciascun messaggio inviato con l’intento di disturbare o collezionare copie.</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Uso di messaggi non sollecitati originati dalla Intranet per altri soggetti terzi per pubblicizzare servizi erogati dall’Amministrazione e fruibili via Intranet stessa.</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6. Invio di messaggi non legati alla missione dell’Amministrazione ad un grande numero di destinatari utenti di news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xml:space="preserve"> (news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xml:space="preserve"> spam).</w:t>
      </w:r>
    </w:p>
    <w:p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4 L</w:t>
      </w:r>
      <w:r>
        <w:rPr>
          <w:rFonts w:ascii="Times New Roman" w:eastAsia="Times New Roman" w:hAnsi="Times New Roman" w:cs="Times New Roman"/>
          <w:color w:val="231F20"/>
          <w:sz w:val="18"/>
          <w:szCs w:val="18"/>
        </w:rPr>
        <w:t xml:space="preserve">INEE TELEFONICHE COMMUTATE </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ANALOGICHE E DIGITALI</w:t>
      </w:r>
      <w:r>
        <w:rPr>
          <w:rFonts w:ascii="Times New Roman" w:eastAsia="Times New Roman" w:hAnsi="Times New Roman" w:cs="Times New Roman"/>
          <w:color w:val="231F20"/>
          <w:sz w:val="24"/>
          <w:szCs w:val="24"/>
        </w:rPr>
        <w:t>)</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4.1 Scopo</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Di seguito vengono illustrate le linee guida per un uso corretto delle linee telefoniche commutate (analogiche convenzionali) e digitali (ISDN, ADSL).</w:t>
      </w:r>
    </w:p>
    <w:p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coprono due diversi usi distinti: linee dedicate esclusivamente ai telefax e linee di collegamento alle risorse elaborative dell’Amministrazione.</w:t>
      </w:r>
    </w:p>
    <w:p w:rsidR="00512A5A" w:rsidRDefault="00600201">
      <w:pPr>
        <w:spacing w:before="40"/>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4.2 Ambito di applicazione</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sono relative solo a quelle linee che sono terminate all’interno della/e sede/i dell’Amministrazione. Sono pertanto escluse le eventuali linee collegate con le abitazioni degli impiegati che operano da casa e le linee usate per gestire situazioni di emergenza.</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lastRenderedPageBreak/>
        <w:t>4.3 Politiche – Scenari di impatto sull’Amministrazione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Esistono due importanti scenari che caratterizzano un cattivo uso delle linee di comunicazione che tentiamo di tutelare attraverso queste politiche.</w:t>
      </w:r>
    </w:p>
    <w:p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Il </w:t>
      </w:r>
      <w:r>
        <w:rPr>
          <w:rFonts w:ascii="Times New Roman" w:eastAsia="Times New Roman" w:hAnsi="Times New Roman" w:cs="Times New Roman"/>
          <w:i/>
          <w:color w:val="231F20"/>
        </w:rPr>
        <w:t xml:space="preserve">primo </w:t>
      </w:r>
      <w:r>
        <w:rPr>
          <w:rFonts w:ascii="Times New Roman" w:eastAsia="Times New Roman" w:hAnsi="Times New Roman" w:cs="Times New Roman"/>
          <w:color w:val="231F20"/>
        </w:rPr>
        <w:t>è quello di un attaccante esterno che chiama un gruppo di numeri telefonici nella speranza di accedere alle risorse elaborative che hanno un modem collegato. Se il modem è predisposto per la risposta automatica, allora ci sono buone probabilità di accesso illecito al sistema informativo attraverso un server non monitorato. In questo scenario, al minimo possono essere compromesse solo le informazioni contenute sul server.</w:t>
      </w:r>
    </w:p>
    <w:p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Il </w:t>
      </w:r>
      <w:r>
        <w:rPr>
          <w:rFonts w:ascii="Times New Roman" w:eastAsia="Times New Roman" w:hAnsi="Times New Roman" w:cs="Times New Roman"/>
          <w:i/>
          <w:color w:val="231F20"/>
        </w:rPr>
        <w:t xml:space="preserve">secondo </w:t>
      </w:r>
      <w:r>
        <w:rPr>
          <w:rFonts w:ascii="Times New Roman" w:eastAsia="Times New Roman" w:hAnsi="Times New Roman" w:cs="Times New Roman"/>
          <w:color w:val="231F20"/>
        </w:rPr>
        <w:t>scenario è la minaccia di una persona esterna che può accedere fisicamente alle risorse dell’Amministrazione e utilizza illecitamente un PC da tavolo o portatile corredato di un modem connesso alla rete. In questo caso l’intruso potrebbe essere capace di connettersi, da un lato, alla rete sicura dell’Amministrazione attraverso la rete locale e, dall’altro, simultaneamente di collegarsi con il modem ad un sito esterno sconosciuto (ma precedentemente predisposto). Potenzialmente potrebbe essere possibile trafugare tutte le informazioni dell’Amministrazione, comprese quelle vitali.</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4.4 Politiche – Telefax</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Dovrebbero essere adottate le seguenti regole: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linee fax dovrebbero essere approvate solo per uso istituzionale;</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nessuna linea dei telefax dovrebbe essere usata per uso personale;</w:t>
      </w:r>
    </w:p>
    <w:p w:rsidR="00512A5A" w:rsidRDefault="00600201">
      <w:pPr>
        <w:spacing w:before="8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postazioni di lavoro che sono capaci di inviare e ricevere fax non devono essere utilizzate per svolgere questa funzione.</w:t>
      </w:r>
    </w:p>
    <w:p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Eventuali deroghe a queste politiche possono essere valutate ed eventualmente concesse dal Responsabile della sicurezza caso per caso dopo una attenta valutazione delle necessità dell’Amministrazione rispetto ai livelli di sensitività dei dati.</w:t>
      </w:r>
    </w:p>
    <w:p w:rsidR="00512A5A" w:rsidRDefault="00600201">
      <w:pPr>
        <w:spacing w:before="20" w:line="261"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4.5 Politiche – Collegamento di PC alle linee telefoniche analogiche</w:t>
      </w:r>
    </w:p>
    <w:p w:rsidR="00512A5A" w:rsidRDefault="00600201">
      <w:pPr>
        <w:spacing w:line="141" w:lineRule="auto"/>
        <w:ind w:right="-20"/>
        <w:jc w:val="both"/>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generale è quella di non approvare i collegamenti diretti dei PC alle linee telefoniche commutate.</w:t>
      </w:r>
    </w:p>
    <w:p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linee commutate rappresentano una significativa minaccia per l’Amministrazione di attacchi esterni. Le eccezioni alle precedenti politiche dovrebbero essere valutate caso per caso dal responsabile della sicurezza.</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4.6 Politiche – Richiesta di linee telefoniche analogiche</w:t>
      </w:r>
    </w:p>
    <w:p w:rsidR="00512A5A" w:rsidRDefault="00600201">
      <w:pPr>
        <w:spacing w:line="141" w:lineRule="auto"/>
        <w:ind w:right="-20"/>
        <w:jc w:val="both"/>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Una volta approvata la richiesta individuale di linea commutata dal responsabile dell’incaricato all’uso della linea medesima, questa deve essere corredata dalle seguenti informazioni da indirizzare al responsabile della sicurezza di rete:</w:t>
      </w:r>
    </w:p>
    <w:p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una chiara e dettagliata relazione che illustri la necessità di una linea commutata dedicata in alternativa alla disponibilità di rete sicura dell’Amministrazione;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lo scopo istituzionale per cui si rende necessaria la linea commutata;</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e l’hardware che deve essere collegato alla linea e utilizzato dall’incaricato;</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che cosa la connessione esterna richiede per essere acceduta.</w:t>
      </w:r>
    </w:p>
    <w:p w:rsidR="00512A5A" w:rsidRDefault="00600201">
      <w:pPr>
        <w:spacing w:before="20" w:line="261"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5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INOLTRO AUTOMATICO DI MESSAGGI DI POSTA ELETTRONICA</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before="20"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5.1 Scopo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1. Lo scopo di queste politiche è prevenire rivelazioni non autorizzare o involontarie di informazioni confidenziali o sensitive dell’Amministrazione</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5.2 Ambito di applicazione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riguardano l’inoltro automatico di messaggi e quindi la possibile trasmissione involontaria di informazioni confidenziali o sensitive a tutti gli impiegati o soggetti terzi.</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5.3 Politiche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impiegati devono esercitare estrema attenzione quando inviano qualsiasi messaggio all’esterno dell’Amministrazione. A meno che non siano espressamente approvati dal Dirigente responsabile i messaggi non devono essere automaticamente inoltrati all’esterno dell’Amministrazione.</w:t>
      </w:r>
    </w:p>
    <w:p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Informazioni confidenziali o sensitive non devono essere trasmesse per posta elettronica a meno che, non siano espressamente ammesse e precedentemente cifrate in accordo con il destinatario.</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6 P</w:t>
      </w:r>
      <w:r>
        <w:rPr>
          <w:rFonts w:ascii="Times New Roman" w:eastAsia="Times New Roman" w:hAnsi="Times New Roman" w:cs="Times New Roman"/>
          <w:color w:val="231F20"/>
          <w:sz w:val="18"/>
          <w:szCs w:val="18"/>
        </w:rPr>
        <w:t>OLITICHE PER LE CONNESSIONI IN INGRESSO SU RETE COMMUTATA</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6.1 Scopo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Proteggere le informazioni elettroniche dell’Amministrazione contro compromissione involontaria da parte di personale autorizzato ad accedere dall’esterno su rete commutata.</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6.2 Ambito di applicazione</w:t>
      </w:r>
    </w:p>
    <w:p w:rsidR="00512A5A" w:rsidRDefault="00600201">
      <w:pPr>
        <w:spacing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definire adeguate modalità di accesso da remoto ed il loro uso da parte di personale autorizzato.</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6.3 Politiche</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e le persone terze autorizzate (clienti, venditori, altre amministrazioni, cittadini, etc.) possono utilizzare la linea commutata per guadagnare l’ingresso alla Intranet dell’Amministrazione. Tale accesso dovrebbe essere rigidamente controllato usando sistemi di autenticazione forte, quali: password da usare una sola volta (</w:t>
      </w:r>
      <w:proofErr w:type="spellStart"/>
      <w:r>
        <w:rPr>
          <w:rFonts w:ascii="Times New Roman" w:eastAsia="Times New Roman" w:hAnsi="Times New Roman" w:cs="Times New Roman"/>
          <w:color w:val="231F20"/>
        </w:rPr>
        <w:t>one</w:t>
      </w:r>
      <w:proofErr w:type="spellEnd"/>
      <w:r>
        <w:rPr>
          <w:rFonts w:ascii="Times New Roman" w:eastAsia="Times New Roman" w:hAnsi="Times New Roman" w:cs="Times New Roman"/>
          <w:color w:val="231F20"/>
        </w:rPr>
        <w:t xml:space="preserve"> </w:t>
      </w:r>
      <w:proofErr w:type="spellStart"/>
      <w:r>
        <w:rPr>
          <w:rFonts w:ascii="Times New Roman" w:eastAsia="Times New Roman" w:hAnsi="Times New Roman" w:cs="Times New Roman"/>
          <w:color w:val="231F20"/>
        </w:rPr>
        <w:t>time</w:t>
      </w:r>
      <w:proofErr w:type="spellEnd"/>
      <w:r>
        <w:rPr>
          <w:rFonts w:ascii="Times New Roman" w:eastAsia="Times New Roman" w:hAnsi="Times New Roman" w:cs="Times New Roman"/>
          <w:color w:val="231F20"/>
        </w:rPr>
        <w:t xml:space="preserve"> password), sistemi di firma digitale o tecniche di sfida/risposta (challenger/</w:t>
      </w:r>
      <w:proofErr w:type="spellStart"/>
      <w:r>
        <w:rPr>
          <w:rFonts w:ascii="Times New Roman" w:eastAsia="Times New Roman" w:hAnsi="Times New Roman" w:cs="Times New Roman"/>
          <w:color w:val="231F20"/>
        </w:rPr>
        <w:t>response</w:t>
      </w:r>
      <w:proofErr w:type="spellEnd"/>
      <w:r>
        <w:rPr>
          <w:rFonts w:ascii="Times New Roman" w:eastAsia="Times New Roman" w:hAnsi="Times New Roman" w:cs="Times New Roman"/>
          <w:color w:val="231F20"/>
        </w:rPr>
        <w:t>).</w:t>
      </w:r>
    </w:p>
    <w:p w:rsidR="00512A5A" w:rsidRDefault="00600201">
      <w:pPr>
        <w:spacing w:before="60"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È responsabilità del personale con i privilegi di accesso dall’esterno alla rete dell’Amministrazione garantire che personale non autorizzato possa accedere illecitamente alla Intranet dell’Amministrazione ed alle sue informazioni. Tutto il personale che può accedere al sistema informativo dell’Amministrazione dall’esterno deve essere consapevole che tale accesso costituisce “realmente” una estensione del sistema informativo che potenzialmente può trasferire informazioni sensitive.</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Il personale e le persone terze devono, di conseguenza, porre in essere tutte le ragionevoli misure di sicurezza in loro possesso per proteggere il patrimonio informativo ed i beni dell’Amministrazione.</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 xml:space="preserve">4. Solo la linea commutata convenzionale può essere utilizzata per realizzare il collegamento. Non sono ammessi cellulari per realizzare collegamenti dati facilmente intercettabili o che consentono un </w:t>
      </w:r>
      <w:proofErr w:type="spellStart"/>
      <w:r>
        <w:rPr>
          <w:rFonts w:ascii="Times New Roman" w:eastAsia="Times New Roman" w:hAnsi="Times New Roman" w:cs="Times New Roman"/>
          <w:color w:val="231F20"/>
        </w:rPr>
        <w:t>reinstradamento</w:t>
      </w:r>
      <w:proofErr w:type="spellEnd"/>
      <w:r>
        <w:rPr>
          <w:rFonts w:ascii="Times New Roman" w:eastAsia="Times New Roman" w:hAnsi="Times New Roman" w:cs="Times New Roman"/>
          <w:color w:val="231F20"/>
        </w:rPr>
        <w:t xml:space="preserve"> della connessione.</w:t>
      </w:r>
    </w:p>
    <w:p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7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USO DELLA POSTA ISTITUZIONALE DELL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AMMINISTRAZIONE</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7.1 Scopo</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Evitare l’offuscamento dell’immagine dell’Amministrazione. Quando un messaggio di posta esce dall’Amministrazione il pubblico tenderà a vedere ed interpretare il messaggio come una affermazione ufficiale dell’Amministrazione.</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7.2 Ambito di applicazione</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di seguito descritta intende illustrare l’uso appropriato della posta elettronica istituzionale in uscita che deve essere adottata da tutto il personale e dagli interlocutori dell’Amministrazione stessa.</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7.3 Politiche – Usi proibiti</w:t>
      </w:r>
    </w:p>
    <w:p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sistema di posta dell’Amministrazione non deve essere usato per la creazione o la distribuzione di ogni distruttivo od offensivo messaggio, includendo come offensivi i commenti su razza, genere, capelli, colore, disabilità, età, orientamenti sessuali, pornografia, opinioni e pratiche religiose o nazionalità. Gli impiegati che ricevono messaggi con questi contenuti da colleghi dovrebbero riportare questi eventi ai diretti superiori immediatamente.</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7.4 Politiche – Uso personale</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È considerato accettabile l’uso personale della posta istituzionale dell’Amministrazione a condizione che: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messaggi personali siano archiviati in cartelle separate da quelle di lavoro;</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venga utilizzata una ragionevole quantità di risorse pubbliche;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si avviino catene di lettere o messaggi scherzosi, di disturbo o di altro genere.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Il personale dell’Amministrazione, nel rispetto dei principi della privacy, non avrà controlli sui dati archiviati a titolo personale, ricevuti o trasmessi.</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L’Amministrazione può però controllare senza preavviso i messaggi che transitano in rete per verificare il rispetto delle politiche concernenti gli “usi proibiti” di cui sopra.</w:t>
      </w:r>
    </w:p>
    <w:p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Non è ammesso l’uso della posta istituzionale per usi personali e, in ogni caso, non si deve dare seguito a catene di lettere o messaggi scherzosi, di disturbo o di altro genere.</w:t>
      </w:r>
    </w:p>
    <w:p w:rsidR="00512A5A" w:rsidRDefault="00600201">
      <w:pPr>
        <w:spacing w:line="19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8 P</w:t>
      </w:r>
      <w:r>
        <w:rPr>
          <w:rFonts w:ascii="Times New Roman" w:eastAsia="Times New Roman" w:hAnsi="Times New Roman" w:cs="Times New Roman"/>
          <w:color w:val="231F20"/>
          <w:sz w:val="18"/>
          <w:szCs w:val="18"/>
        </w:rPr>
        <w:t>OLITICHE PER LE COMUNICAZIONI WIRELESS</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8.1 Scopo</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proibiscono l’accesso alla rete dell’Amministrazione via rete wireless insicura.</w:t>
      </w:r>
    </w:p>
    <w:p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Solo i sistemi wireless che si adattano a queste politiche o hanno la garanzia di sicurezza certificata dal responsabile della sicurezza, possono essere utilizzati per realizzare i collegamenti all’Amministrazione.</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8.2 Ambito di applicazione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1. La politica riguarda tutti i dispositivi di comunicazione dati senza fili collegati (PC e cellulari telefonici) alla Intranet dell’Amministrazione, ovvero qualunque dispositivo di comunicazione wireless capace di trasmettere “pacchetti” di dati.</w:t>
      </w:r>
    </w:p>
    <w:p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Dispositivi wireless e/o reti senza connettività alla Intranet dell’Amministrazione, sono esclusi da queste politiche.</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8.3 Politiche – Registrazione delle schede di accesso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Tutti i “punti di accesso” o le “stazioni base” collegati alla Intranet devono essere registrati e approvati dal responsabile della sicurezza.</w:t>
      </w:r>
    </w:p>
    <w:p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Questi dispositivi sono soggetti a periodiche “prove di penetrazione” e controlli (auditing). Tutte le schede di PC da tavolo o portatili devono essere parimenti registrate.</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8.4 Politiche – Approvazione delle tecnologie</w:t>
      </w:r>
    </w:p>
    <w:p w:rsidR="00512A5A" w:rsidRDefault="00600201">
      <w:pPr>
        <w:spacing w:before="40"/>
        <w:ind w:left="280" w:right="-20"/>
        <w:jc w:val="both"/>
        <w:rPr>
          <w:rFonts w:ascii="Times New Roman" w:eastAsia="Times New Roman" w:hAnsi="Times New Roman" w:cs="Times New Roman"/>
          <w:b/>
          <w:color w:val="0066B3"/>
          <w:sz w:val="36"/>
          <w:szCs w:val="36"/>
        </w:rPr>
        <w:sectPr w:rsidR="00512A5A">
          <w:pgSz w:w="11906" w:h="16838" w:code="9"/>
          <w:pgMar w:top="1417" w:right="1701" w:bottom="1417" w:left="1701" w:header="708" w:footer="708" w:gutter="0"/>
          <w:cols w:space="720"/>
        </w:sectPr>
      </w:pPr>
      <w:r>
        <w:rPr>
          <w:rFonts w:ascii="Times New Roman" w:eastAsia="Times New Roman" w:hAnsi="Times New Roman" w:cs="Times New Roman"/>
          <w:color w:val="231F20"/>
        </w:rPr>
        <w:t>1. Tutti i dispositivi di accesso alle LAN dell’Amministrazione devono utilizzare prodotti di venditori accreditati dal responsabile della sicurezza e configurati in sicurezza.</w:t>
      </w:r>
    </w:p>
    <w:p w:rsidR="00512A5A" w:rsidRDefault="00600201">
      <w:r>
        <w:lastRenderedPageBreak/>
        <w:t xml:space="preserve"> </w:t>
      </w:r>
    </w:p>
    <w:sectPr w:rsidR="00512A5A" w:rsidSect="002B31E8">
      <w:type w:val="continuous"/>
      <w:pgSz w:w="11906" w:h="16838" w:code="9"/>
      <w:pgMar w:top="1417" w:right="1701" w:bottom="1417" w:left="1701" w:header="708" w:footer="708" w:gutter="0"/>
      <w:cols w:space="72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53792A"/>
    <w:multiLevelType w:val="hybridMultilevel"/>
    <w:tmpl w:val="03AE68A8"/>
    <w:lvl w:ilvl="0" w:tplc="49882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A314AA7"/>
    <w:multiLevelType w:val="hybridMultilevel"/>
    <w:tmpl w:val="D3DE6AA4"/>
    <w:lvl w:ilvl="0" w:tplc="70139708">
      <w:start w:val="1"/>
      <w:numFmt w:val="decimal"/>
      <w:lvlText w:val="%1."/>
      <w:lvlJc w:val="left"/>
      <w:pPr>
        <w:ind w:left="720" w:hanging="360"/>
      </w:pPr>
    </w:lvl>
    <w:lvl w:ilvl="1" w:tplc="70139708" w:tentative="1">
      <w:start w:val="1"/>
      <w:numFmt w:val="lowerLetter"/>
      <w:lvlText w:val="%2."/>
      <w:lvlJc w:val="left"/>
      <w:pPr>
        <w:ind w:left="1440" w:hanging="360"/>
      </w:pPr>
    </w:lvl>
    <w:lvl w:ilvl="2" w:tplc="70139708" w:tentative="1">
      <w:start w:val="1"/>
      <w:numFmt w:val="lowerRoman"/>
      <w:lvlText w:val="%3."/>
      <w:lvlJc w:val="right"/>
      <w:pPr>
        <w:ind w:left="2160" w:hanging="180"/>
      </w:pPr>
    </w:lvl>
    <w:lvl w:ilvl="3" w:tplc="70139708" w:tentative="1">
      <w:start w:val="1"/>
      <w:numFmt w:val="decimal"/>
      <w:lvlText w:val="%4."/>
      <w:lvlJc w:val="left"/>
      <w:pPr>
        <w:ind w:left="2880" w:hanging="360"/>
      </w:pPr>
    </w:lvl>
    <w:lvl w:ilvl="4" w:tplc="70139708" w:tentative="1">
      <w:start w:val="1"/>
      <w:numFmt w:val="lowerLetter"/>
      <w:lvlText w:val="%5."/>
      <w:lvlJc w:val="left"/>
      <w:pPr>
        <w:ind w:left="3600" w:hanging="360"/>
      </w:pPr>
    </w:lvl>
    <w:lvl w:ilvl="5" w:tplc="70139708" w:tentative="1">
      <w:start w:val="1"/>
      <w:numFmt w:val="lowerRoman"/>
      <w:lvlText w:val="%6."/>
      <w:lvlJc w:val="right"/>
      <w:pPr>
        <w:ind w:left="4320" w:hanging="180"/>
      </w:pPr>
    </w:lvl>
    <w:lvl w:ilvl="6" w:tplc="70139708" w:tentative="1">
      <w:start w:val="1"/>
      <w:numFmt w:val="decimal"/>
      <w:lvlText w:val="%7."/>
      <w:lvlJc w:val="left"/>
      <w:pPr>
        <w:ind w:left="5040" w:hanging="360"/>
      </w:pPr>
    </w:lvl>
    <w:lvl w:ilvl="7" w:tplc="70139708" w:tentative="1">
      <w:start w:val="1"/>
      <w:numFmt w:val="lowerLetter"/>
      <w:lvlText w:val="%8."/>
      <w:lvlJc w:val="left"/>
      <w:pPr>
        <w:ind w:left="5760" w:hanging="360"/>
      </w:pPr>
    </w:lvl>
    <w:lvl w:ilvl="8" w:tplc="7013970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8"/>
  </w:num>
  <w:num w:numId="4">
    <w:abstractNumId w:val="4"/>
  </w:num>
  <w:num w:numId="5">
    <w:abstractNumId w:val="1"/>
  </w:num>
  <w:num w:numId="6">
    <w:abstractNumId w:val="0"/>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20"/>
  <w:hyphenationZone w:val="283"/>
  <w:characterSpacingControl w:val="doNotCompress"/>
  <w:compat/>
  <w:rsids>
    <w:rsidRoot w:val="00512A5A"/>
    <w:rsid w:val="001749E9"/>
    <w:rsid w:val="002B31E8"/>
    <w:rsid w:val="00497635"/>
    <w:rsid w:val="004E52B2"/>
    <w:rsid w:val="00512A5A"/>
    <w:rsid w:val="00575D84"/>
    <w:rsid w:val="00600201"/>
    <w:rsid w:val="00643051"/>
    <w:rsid w:val="008547BC"/>
    <w:rsid w:val="00912926"/>
    <w:rsid w:val="00BF7ECB"/>
    <w:rsid w:val="00ED14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B31E8"/>
  </w:style>
  <w:style w:type="paragraph" w:styleId="Titolo1">
    <w:name w:val="heading 1"/>
    <w:basedOn w:val="Normale"/>
    <w:next w:val="Normale"/>
    <w:rsid w:val="002B31E8"/>
    <w:pPr>
      <w:keepNext/>
      <w:keepLines/>
      <w:spacing w:before="400" w:after="120"/>
      <w:outlineLvl w:val="0"/>
    </w:pPr>
    <w:rPr>
      <w:sz w:val="40"/>
      <w:szCs w:val="40"/>
    </w:rPr>
  </w:style>
  <w:style w:type="paragraph" w:styleId="Titolo2">
    <w:name w:val="heading 2"/>
    <w:basedOn w:val="Normale"/>
    <w:next w:val="Normale"/>
    <w:rsid w:val="002B31E8"/>
    <w:pPr>
      <w:keepNext/>
      <w:keepLines/>
      <w:spacing w:before="360" w:after="120"/>
      <w:outlineLvl w:val="1"/>
    </w:pPr>
    <w:rPr>
      <w:sz w:val="32"/>
      <w:szCs w:val="32"/>
    </w:rPr>
  </w:style>
  <w:style w:type="paragraph" w:styleId="Titolo3">
    <w:name w:val="heading 3"/>
    <w:basedOn w:val="Normale"/>
    <w:next w:val="Normale"/>
    <w:rsid w:val="002B31E8"/>
    <w:pPr>
      <w:keepNext/>
      <w:keepLines/>
      <w:spacing w:before="320" w:after="80"/>
      <w:outlineLvl w:val="2"/>
    </w:pPr>
    <w:rPr>
      <w:color w:val="434343"/>
      <w:sz w:val="28"/>
      <w:szCs w:val="28"/>
    </w:rPr>
  </w:style>
  <w:style w:type="paragraph" w:styleId="Titolo4">
    <w:name w:val="heading 4"/>
    <w:basedOn w:val="Normale"/>
    <w:next w:val="Normale"/>
    <w:rsid w:val="002B31E8"/>
    <w:pPr>
      <w:keepNext/>
      <w:keepLines/>
      <w:spacing w:before="280" w:after="80"/>
      <w:outlineLvl w:val="3"/>
    </w:pPr>
    <w:rPr>
      <w:color w:val="666666"/>
      <w:sz w:val="24"/>
      <w:szCs w:val="24"/>
    </w:rPr>
  </w:style>
  <w:style w:type="paragraph" w:styleId="Titolo5">
    <w:name w:val="heading 5"/>
    <w:basedOn w:val="Normale"/>
    <w:next w:val="Normale"/>
    <w:rsid w:val="002B31E8"/>
    <w:pPr>
      <w:keepNext/>
      <w:keepLines/>
      <w:spacing w:before="240" w:after="80"/>
      <w:outlineLvl w:val="4"/>
    </w:pPr>
    <w:rPr>
      <w:color w:val="666666"/>
    </w:rPr>
  </w:style>
  <w:style w:type="paragraph" w:styleId="Titolo6">
    <w:name w:val="heading 6"/>
    <w:basedOn w:val="Normale"/>
    <w:next w:val="Normale"/>
    <w:rsid w:val="002B31E8"/>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B31E8"/>
    <w:tblPr>
      <w:tblCellMar>
        <w:top w:w="0" w:type="dxa"/>
        <w:left w:w="0" w:type="dxa"/>
        <w:bottom w:w="0" w:type="dxa"/>
        <w:right w:w="0" w:type="dxa"/>
      </w:tblCellMar>
    </w:tblPr>
  </w:style>
  <w:style w:type="paragraph" w:styleId="Titolo">
    <w:name w:val="Title"/>
    <w:basedOn w:val="Normale"/>
    <w:next w:val="Normale"/>
    <w:rsid w:val="002B31E8"/>
    <w:pPr>
      <w:keepNext/>
      <w:keepLines/>
      <w:spacing w:after="60"/>
    </w:pPr>
    <w:rPr>
      <w:sz w:val="52"/>
      <w:szCs w:val="52"/>
    </w:rPr>
  </w:style>
  <w:style w:type="paragraph" w:styleId="Sottotitolo">
    <w:name w:val="Subtitle"/>
    <w:basedOn w:val="Normale"/>
    <w:next w:val="Normale"/>
    <w:rsid w:val="002B31E8"/>
    <w:pPr>
      <w:keepNext/>
      <w:keepLines/>
      <w:spacing w:after="320"/>
    </w:pPr>
    <w:rPr>
      <w:color w:val="666666"/>
      <w:sz w:val="30"/>
      <w:szCs w:val="30"/>
    </w:rPr>
  </w:style>
  <w:style w:type="table" w:customStyle="1" w:styleId="a">
    <w:basedOn w:val="TableNormal"/>
    <w:rsid w:val="002B31E8"/>
    <w:tblPr>
      <w:tblStyleRowBandSize w:val="1"/>
      <w:tblStyleColBandSize w:val="1"/>
      <w:tblCellMar>
        <w:top w:w="100" w:type="dxa"/>
        <w:left w:w="100" w:type="dxa"/>
        <w:bottom w:w="100" w:type="dxa"/>
        <w:right w:w="100" w:type="dxa"/>
      </w:tblCellMar>
    </w:tblPr>
  </w:style>
  <w:style w:type="table" w:customStyle="1" w:styleId="a0">
    <w:basedOn w:val="TableNormal"/>
    <w:rsid w:val="002B31E8"/>
    <w:tblPr>
      <w:tblStyleRowBandSize w:val="1"/>
      <w:tblStyleColBandSize w:val="1"/>
      <w:tblCellMar>
        <w:top w:w="100" w:type="dxa"/>
        <w:left w:w="100" w:type="dxa"/>
        <w:bottom w:w="100" w:type="dxa"/>
        <w:right w:w="100" w:type="dxa"/>
      </w:tblCellMar>
    </w:tblPr>
  </w:style>
  <w:style w:type="table" w:customStyle="1" w:styleId="a1">
    <w:basedOn w:val="TableNormal"/>
    <w:rsid w:val="002B31E8"/>
    <w:tblPr>
      <w:tblStyleRowBandSize w:val="1"/>
      <w:tblStyleColBandSize w:val="1"/>
      <w:tblCellMar>
        <w:top w:w="85" w:type="dxa"/>
        <w:left w:w="70" w:type="dxa"/>
        <w:bottom w:w="85" w:type="dxa"/>
        <w:right w:w="70" w:type="dxa"/>
      </w:tblCellMar>
    </w:tblPr>
  </w:style>
  <w:style w:type="table" w:customStyle="1" w:styleId="a2">
    <w:basedOn w:val="TableNormal"/>
    <w:rsid w:val="002B31E8"/>
    <w:tblPr>
      <w:tblStyleRowBandSize w:val="1"/>
      <w:tblStyleColBandSize w:val="1"/>
      <w:tblCellMar>
        <w:top w:w="85" w:type="dxa"/>
        <w:left w:w="70" w:type="dxa"/>
        <w:bottom w:w="85" w:type="dxa"/>
        <w:right w:w="70" w:type="dxa"/>
      </w:tblCellMar>
    </w:tblPr>
  </w:style>
  <w:style w:type="table" w:customStyle="1" w:styleId="a3">
    <w:basedOn w:val="TableNormal"/>
    <w:rsid w:val="002B31E8"/>
    <w:tblPr>
      <w:tblStyleRowBandSize w:val="1"/>
      <w:tblStyleColBandSize w:val="1"/>
      <w:tblCellMar>
        <w:top w:w="85" w:type="dxa"/>
        <w:left w:w="70" w:type="dxa"/>
        <w:bottom w:w="85" w:type="dxa"/>
        <w:right w:w="70" w:type="dxa"/>
      </w:tblCellMar>
    </w:tblPr>
  </w:style>
  <w:style w:type="table" w:customStyle="1" w:styleId="a4">
    <w:basedOn w:val="TableNormal"/>
    <w:rsid w:val="002B31E8"/>
    <w:tblPr>
      <w:tblStyleRowBandSize w:val="1"/>
      <w:tblStyleColBandSize w:val="1"/>
      <w:tblCellMar>
        <w:top w:w="85" w:type="dxa"/>
        <w:left w:w="70" w:type="dxa"/>
        <w:bottom w:w="85" w:type="dxa"/>
        <w:right w:w="70" w:type="dxa"/>
      </w:tblCellMar>
    </w:tblPr>
  </w:style>
  <w:style w:type="table" w:customStyle="1" w:styleId="a5">
    <w:basedOn w:val="TableNormal"/>
    <w:rsid w:val="002B31E8"/>
    <w:tblPr>
      <w:tblStyleRowBandSize w:val="1"/>
      <w:tblStyleColBandSize w:val="1"/>
      <w:tblCellMar>
        <w:top w:w="85" w:type="dxa"/>
        <w:left w:w="70" w:type="dxa"/>
        <w:bottom w:w="85" w:type="dxa"/>
        <w:right w:w="70" w:type="dxa"/>
      </w:tblCellMar>
    </w:tblPr>
  </w:style>
  <w:style w:type="table" w:customStyle="1" w:styleId="a6">
    <w:basedOn w:val="TableNormal"/>
    <w:rsid w:val="002B31E8"/>
    <w:tblPr>
      <w:tblStyleRowBandSize w:val="1"/>
      <w:tblStyleColBandSize w:val="1"/>
      <w:tblCellMar>
        <w:top w:w="85" w:type="dxa"/>
        <w:left w:w="70" w:type="dxa"/>
        <w:bottom w:w="85" w:type="dxa"/>
        <w:right w:w="70" w:type="dxa"/>
      </w:tblCellMar>
    </w:tblPr>
  </w:style>
  <w:style w:type="table" w:customStyle="1" w:styleId="a7">
    <w:basedOn w:val="TableNormal"/>
    <w:rsid w:val="002B31E8"/>
    <w:tblPr>
      <w:tblStyleRowBandSize w:val="1"/>
      <w:tblStyleColBandSize w:val="1"/>
      <w:tblCellMar>
        <w:top w:w="85" w:type="dxa"/>
        <w:left w:w="70" w:type="dxa"/>
        <w:bottom w:w="85" w:type="dxa"/>
        <w:right w:w="70" w:type="dxa"/>
      </w:tblCellMar>
    </w:tblPr>
  </w:style>
  <w:style w:type="table" w:customStyle="1" w:styleId="a8">
    <w:basedOn w:val="TableNormal"/>
    <w:rsid w:val="002B31E8"/>
    <w:tblPr>
      <w:tblStyleRowBandSize w:val="1"/>
      <w:tblStyleColBandSize w:val="1"/>
      <w:tblCellMar>
        <w:top w:w="85" w:type="dxa"/>
        <w:left w:w="70" w:type="dxa"/>
        <w:bottom w:w="85" w:type="dxa"/>
        <w:right w:w="70" w:type="dxa"/>
      </w:tblCellMar>
    </w:tblPr>
  </w:style>
  <w:style w:type="table" w:customStyle="1" w:styleId="a9">
    <w:basedOn w:val="TableNormal"/>
    <w:rsid w:val="002B31E8"/>
    <w:tblPr>
      <w:tblStyleRowBandSize w:val="1"/>
      <w:tblStyleColBandSize w:val="1"/>
      <w:tblCellMar>
        <w:top w:w="85" w:type="dxa"/>
        <w:left w:w="70" w:type="dxa"/>
        <w:bottom w:w="85" w:type="dxa"/>
        <w:right w:w="70" w:type="dxa"/>
      </w:tblCellMar>
    </w:tblPr>
  </w:style>
  <w:style w:type="table" w:customStyle="1" w:styleId="aa">
    <w:basedOn w:val="TableNormal"/>
    <w:rsid w:val="002B31E8"/>
    <w:tblPr>
      <w:tblStyleRowBandSize w:val="1"/>
      <w:tblStyleColBandSize w:val="1"/>
      <w:tblCellMar>
        <w:top w:w="85" w:type="dxa"/>
        <w:left w:w="70" w:type="dxa"/>
        <w:bottom w:w="85" w:type="dxa"/>
        <w:right w:w="70" w:type="dxa"/>
      </w:tblCellMar>
    </w:tblPr>
  </w:style>
  <w:style w:type="table" w:customStyle="1" w:styleId="ab">
    <w:basedOn w:val="TableNormal"/>
    <w:rsid w:val="002B31E8"/>
    <w:tblPr>
      <w:tblStyleRowBandSize w:val="1"/>
      <w:tblStyleColBandSize w:val="1"/>
      <w:tblCellMar>
        <w:top w:w="85" w:type="dxa"/>
        <w:left w:w="70" w:type="dxa"/>
        <w:bottom w:w="85" w:type="dxa"/>
        <w:right w:w="70" w:type="dxa"/>
      </w:tblCellMar>
    </w:tblPr>
  </w:style>
  <w:style w:type="table" w:customStyle="1" w:styleId="ac">
    <w:basedOn w:val="TableNormal"/>
    <w:rsid w:val="002B31E8"/>
    <w:tblPr>
      <w:tblStyleRowBandSize w:val="1"/>
      <w:tblStyleColBandSize w:val="1"/>
      <w:tblCellMar>
        <w:top w:w="85" w:type="dxa"/>
        <w:left w:w="70" w:type="dxa"/>
        <w:bottom w:w="85" w:type="dxa"/>
        <w:right w:w="70" w:type="dxa"/>
      </w:tblCellMar>
    </w:tblPr>
  </w:style>
  <w:style w:type="paragraph" w:styleId="Testofumetto">
    <w:name w:val="Balloon Text"/>
    <w:basedOn w:val="Normale"/>
    <w:link w:val="TestofumettoCarattere"/>
    <w:uiPriority w:val="99"/>
    <w:semiHidden/>
    <w:unhideWhenUsed/>
    <w:rsid w:val="0049763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635"/>
    <w:rPr>
      <w:rFonts w:ascii="Tahoma" w:hAnsi="Tahoma" w:cs="Tahoma"/>
      <w:sz w:val="16"/>
      <w:szCs w:val="16"/>
    </w:rPr>
  </w:style>
  <w:style w:type="character" w:customStyle="1" w:styleId="DefaultParagraphFontPHPDOCX">
    <w:name w:val="Default Paragraph Font PHPDOCX"/>
    <w:uiPriority w:val="1"/>
    <w:semiHidden/>
    <w:unhideWhenUsed/>
    <w:rsid w:val="002B31E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2B31E8"/>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85" w:type="dxa"/>
        <w:left w:w="70" w:type="dxa"/>
        <w:bottom w:w="85" w:type="dxa"/>
        <w:right w:w="70" w:type="dxa"/>
      </w:tblCellMar>
    </w:tblPr>
  </w:style>
  <w:style w:type="table" w:customStyle="1" w:styleId="a2">
    <w:basedOn w:val="TableNormal"/>
    <w:tblPr>
      <w:tblStyleRowBandSize w:val="1"/>
      <w:tblStyleColBandSize w:val="1"/>
      <w:tblCellMar>
        <w:top w:w="85" w:type="dxa"/>
        <w:left w:w="70" w:type="dxa"/>
        <w:bottom w:w="85" w:type="dxa"/>
        <w:right w:w="70" w:type="dxa"/>
      </w:tblCellMar>
    </w:tblPr>
  </w:style>
  <w:style w:type="table" w:customStyle="1" w:styleId="a3">
    <w:basedOn w:val="TableNormal"/>
    <w:tblPr>
      <w:tblStyleRowBandSize w:val="1"/>
      <w:tblStyleColBandSize w:val="1"/>
      <w:tblCellMar>
        <w:top w:w="85" w:type="dxa"/>
        <w:left w:w="70" w:type="dxa"/>
        <w:bottom w:w="85" w:type="dxa"/>
        <w:right w:w="70" w:type="dxa"/>
      </w:tblCellMar>
    </w:tblPr>
  </w:style>
  <w:style w:type="table" w:customStyle="1" w:styleId="a4">
    <w:basedOn w:val="TableNormal"/>
    <w:tblPr>
      <w:tblStyleRowBandSize w:val="1"/>
      <w:tblStyleColBandSize w:val="1"/>
      <w:tblCellMar>
        <w:top w:w="85" w:type="dxa"/>
        <w:left w:w="70" w:type="dxa"/>
        <w:bottom w:w="85" w:type="dxa"/>
        <w:right w:w="70" w:type="dxa"/>
      </w:tblCellMar>
    </w:tblPr>
  </w:style>
  <w:style w:type="table" w:customStyle="1" w:styleId="a5">
    <w:basedOn w:val="TableNormal"/>
    <w:tblPr>
      <w:tblStyleRowBandSize w:val="1"/>
      <w:tblStyleColBandSize w:val="1"/>
      <w:tblCellMar>
        <w:top w:w="85" w:type="dxa"/>
        <w:left w:w="70" w:type="dxa"/>
        <w:bottom w:w="85" w:type="dxa"/>
        <w:right w:w="70" w:type="dxa"/>
      </w:tblCellMar>
    </w:tblPr>
  </w:style>
  <w:style w:type="table" w:customStyle="1" w:styleId="a6">
    <w:basedOn w:val="TableNormal"/>
    <w:tblPr>
      <w:tblStyleRowBandSize w:val="1"/>
      <w:tblStyleColBandSize w:val="1"/>
      <w:tblCellMar>
        <w:top w:w="85" w:type="dxa"/>
        <w:left w:w="70" w:type="dxa"/>
        <w:bottom w:w="85" w:type="dxa"/>
        <w:right w:w="70" w:type="dxa"/>
      </w:tblCellMar>
    </w:tblPr>
  </w:style>
  <w:style w:type="table" w:customStyle="1" w:styleId="a7">
    <w:basedOn w:val="TableNormal"/>
    <w:tblPr>
      <w:tblStyleRowBandSize w:val="1"/>
      <w:tblStyleColBandSize w:val="1"/>
      <w:tblCellMar>
        <w:top w:w="85" w:type="dxa"/>
        <w:left w:w="70" w:type="dxa"/>
        <w:bottom w:w="85" w:type="dxa"/>
        <w:right w:w="70" w:type="dxa"/>
      </w:tblCellMar>
    </w:tblPr>
  </w:style>
  <w:style w:type="table" w:customStyle="1" w:styleId="a8">
    <w:basedOn w:val="TableNormal"/>
    <w:tblPr>
      <w:tblStyleRowBandSize w:val="1"/>
      <w:tblStyleColBandSize w:val="1"/>
      <w:tblCellMar>
        <w:top w:w="85" w:type="dxa"/>
        <w:left w:w="70" w:type="dxa"/>
        <w:bottom w:w="85" w:type="dxa"/>
        <w:right w:w="70" w:type="dxa"/>
      </w:tblCellMar>
    </w:tblPr>
  </w:style>
  <w:style w:type="table" w:customStyle="1" w:styleId="a9">
    <w:basedOn w:val="TableNormal"/>
    <w:tblPr>
      <w:tblStyleRowBandSize w:val="1"/>
      <w:tblStyleColBandSize w:val="1"/>
      <w:tblCellMar>
        <w:top w:w="85" w:type="dxa"/>
        <w:left w:w="70" w:type="dxa"/>
        <w:bottom w:w="85" w:type="dxa"/>
        <w:right w:w="70" w:type="dxa"/>
      </w:tblCellMar>
    </w:tblPr>
  </w:style>
  <w:style w:type="table" w:customStyle="1" w:styleId="aa">
    <w:basedOn w:val="TableNormal"/>
    <w:tblPr>
      <w:tblStyleRowBandSize w:val="1"/>
      <w:tblStyleColBandSize w:val="1"/>
      <w:tblCellMar>
        <w:top w:w="85" w:type="dxa"/>
        <w:left w:w="70" w:type="dxa"/>
        <w:bottom w:w="85" w:type="dxa"/>
        <w:right w:w="70" w:type="dxa"/>
      </w:tblCellMar>
    </w:tblPr>
  </w:style>
  <w:style w:type="table" w:customStyle="1" w:styleId="ab">
    <w:basedOn w:val="TableNormal"/>
    <w:tblPr>
      <w:tblStyleRowBandSize w:val="1"/>
      <w:tblStyleColBandSize w:val="1"/>
      <w:tblCellMar>
        <w:top w:w="85" w:type="dxa"/>
        <w:left w:w="70" w:type="dxa"/>
        <w:bottom w:w="85" w:type="dxa"/>
        <w:right w:w="70" w:type="dxa"/>
      </w:tblCellMar>
    </w:tblPr>
  </w:style>
  <w:style w:type="table" w:customStyle="1" w:styleId="ac">
    <w:basedOn w:val="TableNormal"/>
    <w:tblPr>
      <w:tblStyleRowBandSize w:val="1"/>
      <w:tblStyleColBandSize w:val="1"/>
      <w:tblCellMar>
        <w:top w:w="85" w:type="dxa"/>
        <w:left w:w="70" w:type="dxa"/>
        <w:bottom w:w="85" w:type="dxa"/>
        <w:right w:w="70" w:type="dxa"/>
      </w:tblCellMar>
    </w:tblPr>
  </w:style>
  <w:style w:type="paragraph" w:styleId="Testofumetto">
    <w:name w:val="Balloon Text"/>
    <w:basedOn w:val="Normale"/>
    <w:link w:val="TestofumettoCarattere"/>
    <w:uiPriority w:val="99"/>
    <w:semiHidden/>
    <w:unhideWhenUsed/>
    <w:rsid w:val="0049763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760527483" Type="http://schemas.microsoft.com/office/2011/relationships/commentsExtended" Target="commentsExtended.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9824</Words>
  <Characters>55998</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Mancini</dc:creator>
  <cp:lastModifiedBy>dsga</cp:lastModifiedBy>
  <cp:revision>4</cp:revision>
  <dcterms:created xsi:type="dcterms:W3CDTF">2022-01-26T05:45:00Z</dcterms:created>
  <dcterms:modified xsi:type="dcterms:W3CDTF">2022-01-27T09:46:00Z</dcterms:modified>
</cp:coreProperties>
</file>