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2iu5owhj9kew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dell’IC di Rubiera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24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95"/>
        <w:gridCol w:w="1215"/>
        <w:gridCol w:w="1725"/>
        <w:gridCol w:w="1605"/>
        <w:tblGridChange w:id="0">
          <w:tblGrid>
            <w:gridCol w:w="4695"/>
            <w:gridCol w:w="1215"/>
            <w:gridCol w:w="172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1733"/>
              </w:tabs>
              <w:ind w:right="284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AUTOVALUTAZIONE DEI TITOLI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per la selezione di 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esperti madrelingua inglese e/o esperti in possesso di certificazione inglese C1 per la realizzazione dell’attività Linea di intervento A:“Percorsi di formazione per il potenziamento delle competenze linguistiche degli studenti” e di 3 esperti madrelingua inglese e/o esperti in possesso di certificazione inglese C1 per la realizzazione dell’attività Linea di intervento B: “Realizzazione di percorsi formativi annuali di lingua e di metodologia per docenti”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Piano nazionale di ripresa e resilienza missione 4: istruzione e ricerca </w:t>
            </w:r>
            <w:r w:rsidDel="00000000" w:rsidR="00000000" w:rsidRPr="00000000">
              <w:rPr>
                <w:b w:val="1"/>
                <w:rtl w:val="0"/>
              </w:rPr>
              <w:t xml:space="preserve">componente 1 </w:t>
            </w:r>
            <w:r w:rsidDel="00000000" w:rsidR="00000000" w:rsidRPr="00000000">
              <w:rPr>
                <w:rtl w:val="0"/>
              </w:rPr>
              <w:t xml:space="preserve">– potenziamento dell’offerta dei servizi di istruzione: dagli asili nido alle Università Investimento 3.1: Nuove competenze e nuovi linguaggi. </w:t>
            </w:r>
            <w:r w:rsidDel="00000000" w:rsidR="00000000" w:rsidRPr="00000000">
              <w:rPr>
                <w:b w:val="1"/>
                <w:rtl w:val="0"/>
              </w:rPr>
              <w:t xml:space="preserve">Azioni di potenziamento delle competenze STEM e multilinguistiche: D.M. 65/2023</w:t>
            </w:r>
            <w:r w:rsidDel="00000000" w:rsidR="00000000" w:rsidRPr="00000000">
              <w:rPr>
                <w:rtl w:val="0"/>
              </w:rPr>
              <w:t xml:space="preserve"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Linea di investimento: </w:t>
            </w:r>
            <w:r w:rsidDel="00000000" w:rsidR="00000000" w:rsidRPr="00000000">
              <w:rPr>
                <w:color w:val="212529"/>
                <w:rtl w:val="0"/>
              </w:rPr>
              <w:t xml:space="preserve">M4C1I3.1 - Nuove competenze e nuovi linguaggi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color w:val="212529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Codice avviso: </w:t>
            </w:r>
            <w:r w:rsidDel="00000000" w:rsidR="00000000" w:rsidRPr="00000000">
              <w:rPr>
                <w:color w:val="212529"/>
                <w:rtl w:val="0"/>
              </w:rPr>
              <w:t xml:space="preserve">M4C1I3.1-2023-1143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color w:val="212529"/>
              </w:rPr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Codice progett</w:t>
            </w:r>
            <w:r w:rsidDel="00000000" w:rsidR="00000000" w:rsidRPr="00000000">
              <w:rPr>
                <w:color w:val="212529"/>
                <w:rtl w:val="0"/>
              </w:rPr>
              <w:t xml:space="preserve">o: M4C1I3.1-2023-1143-P-28578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/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Denominato</w:t>
            </w:r>
            <w:r w:rsidDel="00000000" w:rsidR="00000000" w:rsidRPr="00000000">
              <w:rPr>
                <w:color w:val="212529"/>
                <w:rtl w:val="0"/>
              </w:rPr>
              <w:t xml:space="preserve">: OrientaMenti 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C.U.P:</w:t>
            </w:r>
            <w:r w:rsidDel="00000000" w:rsidR="00000000" w:rsidRPr="00000000">
              <w:rPr>
                <w:rtl w:val="0"/>
              </w:rPr>
              <w:t xml:space="preserve"> F24D23001500006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REQUISITI D’ ACCESSO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jc w:val="both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  <w:t xml:space="preserve">Essere madrelingua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Sì/No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possedere una certificazione linguistica inglese pari almeno a C1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Sì/No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ULTERIORI ELEMENTI DI VALUTAZIONE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0" w:line="273.6" w:lineRule="auto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Precedenti esperienze di preparazione per la certificazione B1  PET - Cambridge) con adulti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0" w:line="273.6" w:lineRule="auto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10 punti per ogni esperienza max. 3 esperienze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  <w:t xml:space="preserve"> 30 punti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Precedenti esperienze di attività di lettore madrelingua nella scuola secondaria di primo grado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punti per ogni attività di lettore madrelingua svolta nell’arco di un anno scolastico della durata minima di 10 ore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  <w:t xml:space="preserve"> 10 punti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Esaminatori presso Enti certificatori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punti per ogni servizio prestato in qualità di esaminatore presso  Enti certificatori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  <w:t xml:space="preserve"> 30 punti</w:t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Precedenti esperienze di docenza in corsi di preparazione alle certificazioni  linguistiche in questa Istituzione Scolastica senza segnalazioni di negatività: 5 punti per ogni a.s. 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  <w:t xml:space="preserve"> 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0" w:line="273.6" w:lineRule="auto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Precedenti esperienze di formazione metodologia CLIL per insegnanti della scuola secondaria di primo grado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0" w:line="273.6" w:lineRule="auto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10 punti per ogni esperienza max. 2 esperienze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  <w:t xml:space="preserve"> 20 punti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          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</w:t>
        <w:tab/>
        <w:tab/>
        <w:tab/>
        <w:tab/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0" w:orient="portrait"/>
      <w:pgMar w:bottom="426" w:top="711" w:left="114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 B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" w:before="0" w:line="251" w:lineRule="auto"/>
      <w:ind w:left="10" w:right="4" w:hanging="1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10" w:right="4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