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24" w:line="276" w:lineRule="auto"/>
        <w:ind w:right="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Oggetto: BANDO RECLUTAMENTO ESPERTI e TUTOR PER L’ATTUAZIONE DEL PROGETTO </w:t>
      </w:r>
    </w:p>
    <w:p w:rsidR="00000000" w:rsidDel="00000000" w:rsidP="00000000" w:rsidRDefault="00000000" w:rsidRPr="00000000" w14:paraId="00000003">
      <w:pPr>
        <w:spacing w:after="24" w:line="276" w:lineRule="auto"/>
        <w:ind w:left="10" w:right="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Progetto CoSMO - Competenze STEM e multilinguistiche nelle scuole statali (D.M. 65/2023)- Istruzione e Ricerca - Componente 1 – Potenziamento dell’offerta dei servizi di istruzione: dagli asili nido alle Università - Investimento 3.1: Nuove competenze e nuovi linguaggi Azioni di potenziamento delle competenze STEM e multilinguistiche (D.M.65/2023) finanziato dall’Unione Europea - Next Generation EU </w:t>
      </w:r>
    </w:p>
    <w:p w:rsidR="00000000" w:rsidDel="00000000" w:rsidP="00000000" w:rsidRDefault="00000000" w:rsidRPr="00000000" w14:paraId="00000004">
      <w:pPr>
        <w:spacing w:line="276" w:lineRule="auto"/>
        <w:ind w:left="-2" w:right="360" w:hanging="2"/>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CUP:</w:t>
      </w:r>
      <w:r w:rsidDel="00000000" w:rsidR="00000000" w:rsidRPr="00000000">
        <w:rPr>
          <w:rFonts w:ascii="Arial" w:cs="Arial" w:eastAsia="Arial" w:hAnsi="Arial"/>
          <w:b w:val="1"/>
          <w:color w:val="212529"/>
          <w:sz w:val="22"/>
          <w:szCs w:val="22"/>
          <w:rtl w:val="0"/>
        </w:rPr>
        <w:t xml:space="preserve">F84D23004170006</w:t>
      </w:r>
      <w:r w:rsidDel="00000000" w:rsidR="00000000" w:rsidRPr="00000000">
        <w:rPr>
          <w:rtl w:val="0"/>
        </w:rPr>
      </w:r>
    </w:p>
    <w:p w:rsidR="00000000" w:rsidDel="00000000" w:rsidP="00000000" w:rsidRDefault="00000000" w:rsidRPr="00000000" w14:paraId="00000005">
      <w:pPr>
        <w:spacing w:after="144" w:before="144"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144" w:before="144"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7">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A">
      <w:pPr>
        <w:jc w:val="both"/>
        <w:rPr>
          <w:rFonts w:ascii="Arial" w:cs="Arial" w:eastAsia="Arial" w:hAnsi="Arial"/>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0B">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C">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1"/>
      <w:bookmarkEnd w:id="1"/>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5">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6">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43hjiyGoxMWdyJ2lVjoUxeSeA==">CgMxLjAyCWguMzBqMHpsbDIJaC4xZm9iOXRlOAByITFrYVBuSGtyN0xYcC1oVW1rWjliOWxpNWNwUTlZQS0zaA==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