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Selezione per il conferimento dell’incarico di ESPERTO e TUTOR per il modulo  n. 4233 - francese -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Lingua Straniera </w:t>
      </w:r>
    </w:p>
    <w:p w:rsidR="00000000" w:rsidDel="00000000" w:rsidP="00000000" w:rsidRDefault="00000000" w:rsidRPr="00000000" w14:paraId="00000011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2w1lyek95p6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F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9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3"/>
                <w:bookmarkEnd w:id="3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numPr>
                    <w:ilvl w:val="0"/>
                    <w:numId w:val="10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34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1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l'esperto: Precedenti esperienze didattiche/formative in qualità di docente esperto nella scuola (possibilmente dell’obbligo) nell’insegnamento per la lingua straniera Francese negli istituti di istruzione di I o II Grado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il tutor: diploma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1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1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1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44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50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EJg1WcDDT9aJwsdD9CyfGDrcQ==">CgMxLjAaHwoBMBIaChgICVIUChJ0YWJsZS43dGc2NnF0cW9rd28yDmgudWp0aHl3aXE3MGFhMghoLmdqZGd4czIOaC4ydzFseWVrOTVwNmUyCWguMzBqMHpsbDgAciExUzNOOEo1MHdfazZmNXd0WlI1bGdIOE5pYU50aEZPOVY=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