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40" w:lineRule="auto"/>
        <w:ind w:left="10" w:right="133.937007874016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CoSMO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ind w:left="-2" w:right="133.937007874016" w:hanging="2"/>
        <w:jc w:val="both"/>
        <w:rPr>
          <w:rFonts w:ascii="Arial" w:cs="Arial" w:eastAsia="Arial" w:hAnsi="Arial"/>
          <w:b w:val="1"/>
          <w:color w:val="212529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F84D23004170006</w:t>
      </w:r>
    </w:p>
    <w:p w:rsidR="00000000" w:rsidDel="00000000" w:rsidP="00000000" w:rsidRDefault="00000000" w:rsidRPr="00000000" w14:paraId="00000007">
      <w:pPr>
        <w:widowControl w:val="1"/>
        <w:spacing w:line="240" w:lineRule="auto"/>
        <w:ind w:left="-2" w:right="133.937007874016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DI SELEZIONE PER IL RECLUTAMENTO DI TUTOR DA IMPIEGARE NELLA REALIZZAZIONE DI N. 6 PERCORSI DI POTENZIAMENTO DELLE COMPETENZE LINGUISTICHE DEGLI STUDENTI  DI SCUOLA PRIMARIA FINALIZZATI AL POTENZIAMENTO DELLA DIDATTICA CURRICOLARE COME SPERIMENTAZIONE DI PERCORSI CON METODOLOGIA CLIL NELL’AMBITO DI DISCIPLINE NON LINGUISTICHE.</w:t>
      </w:r>
    </w:p>
    <w:p w:rsidR="00000000" w:rsidDel="00000000" w:rsidP="00000000" w:rsidRDefault="00000000" w:rsidRPr="00000000" w14:paraId="00000008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4" w:before="1" w:line="240" w:lineRule="auto"/>
        <w:ind w:left="0" w:right="291" w:firstLine="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di n. _________ modulo /moduli in qualità di TUTOR presso le seguenti  sedi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PERCORSI DI POTENZIAMENTO DELLE COMPETENZE LINGUISTICHE DEGLI STUDENTI DI SCUOLA PRIMARIA FINALIZZATI AL POTENZIAMENTO DELLA DIDATTICA CURRICOLARE COME SPERIMENTAZIONE DI PERCORSI CON METODOLOGIA CLIL NELL’AMBITO DI DISCIPLINE NON LINGUISTICHE</w:t>
      </w:r>
    </w:p>
    <w:p w:rsidR="00000000" w:rsidDel="00000000" w:rsidP="00000000" w:rsidRDefault="00000000" w:rsidRPr="00000000" w14:paraId="00000017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1A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1B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possiedano il seguente titolo accademico o di studio: 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4"/>
        </w:numPr>
        <w:spacing w:after="0" w:line="240" w:lineRule="auto"/>
        <w:ind w:left="144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 tutor: diploma di scuola superiore di II grado. 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"/>
        </w:tabs>
        <w:spacing w:line="240" w:lineRule="auto"/>
        <w:ind w:left="247" w:hanging="136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Layout w:type="fixed"/>
        <w:tblLook w:val="0400"/>
      </w:tblPr>
      <w:tblGrid>
        <w:gridCol w:w="365"/>
        <w:gridCol w:w="3754"/>
        <w:gridCol w:w="1972"/>
        <w:gridCol w:w="3535"/>
        <w:tblGridChange w:id="0">
          <w:tblGrid>
            <w:gridCol w:w="365"/>
            <w:gridCol w:w="3754"/>
            <w:gridCol w:w="1972"/>
            <w:gridCol w:w="3535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20"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(tutti i titoli devono essere pertinenti alle tematiche del progetto)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PUNTEGGIO ASSEGNATO 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PUNTEGGIO  ASSEGNATO  DALLA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LAUREA SPECIFICA MAGISTRALE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66 a 99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100 a 110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110 con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LAUREA SPECIFICA di primo livello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valutabile in assenza di laurea magistrale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66 a 99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100 a 110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110 con lode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DIPLOMA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 istruzione sec. di 2° grado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valutato solo in assenza di laurea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60 a 90 (oppure 36 a 54)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90 a 99 (oppure dal 54 a 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100/100 (60/60)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CORSO DI PERFEZIONAMENTO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solo ove valutato il diploma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MASTER DI I LIVELLO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valutabile solo se titolo di accesso dichiarato è una laurea di primo livello)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MASTER DI II LIVELLO/DOTTORATO DI RICERCA/SPECIALIZZAZIONE POST LAUREA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Fino a max di 9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ABILITAZIONE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ALL’INSEGNAMENTO DELLA LINGUA STRANIERA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ove richiesta dal bando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ESPERIENZA DI DOCENZA UNIVERSITARIA NELLE AREE DI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DOCENZA IN CORSI DI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FORMAZIONE E/ 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AGGIORNAMENTO ORGANIZZATI DALL’AMMINISTRAZIONE O DA ENTI ACCREDITATI DAL MIUR 2 punti 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er ogni corso (fino ad un max di 12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spacing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Incarichi di esperto/tutor in progetti nazionali e/o internazionali inerenti l'Ambito Tematico.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5 per ogni incarico di durata pari o superiore a 8 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(max punti 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Saranno presi in considerazione solo gli incarichi inerenti l'oggetto dell'Ambito tematico prescelto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Attività di progettazione inerenti l'ambito tematico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5 per incarico di durata pari o superiore a 8 ore (max punti 10)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Attività professionali inerenti l'ambito tematico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1 per ogni esperienza maturata nella realizzazione di progetti relativi all’ambito tematico nella scuola pubblica in qualità di docente esperto (max punti 5)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spacing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SCIENTIFICI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spacing w:line="240" w:lineRule="auto"/>
              <w:ind w:right="1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PUBBLICAZIONI SU TEMATlCHE ATTINENTI.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2 punti per ogni pubblicazione (fino a max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CERTIFICAZIONE EIPASS / ECDL /CISCO/ EUCIP /E - CITIZEN / SUN / ADOBE/ MICROSOFT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2 punti per ogni certificazione (fino a max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CERTIFICAZIONE LINGUISTICA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A2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B1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B2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C1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C2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viene valutato solo il livello più alto e ove richiesta dal bando)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A1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AA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47" w:hanging="135"/>
      </w:pPr>
      <w:rPr>
        <w:rFonts w:ascii="Arial" w:cs="Arial" w:eastAsia="Arial" w:hAnsi="Arial"/>
        <w:b w:val="1"/>
        <w:sz w:val="23"/>
        <w:szCs w:val="23"/>
      </w:rPr>
    </w:lvl>
    <w:lvl w:ilvl="1">
      <w:start w:val="0"/>
      <w:numFmt w:val="bullet"/>
      <w:lvlText w:val="•"/>
      <w:lvlJc w:val="left"/>
      <w:pPr>
        <w:ind w:left="1220" w:hanging="135"/>
      </w:pPr>
      <w:rPr/>
    </w:lvl>
    <w:lvl w:ilvl="2">
      <w:start w:val="0"/>
      <w:numFmt w:val="bullet"/>
      <w:lvlText w:val="•"/>
      <w:lvlJc w:val="left"/>
      <w:pPr>
        <w:ind w:left="2201" w:hanging="135"/>
      </w:pPr>
      <w:rPr/>
    </w:lvl>
    <w:lvl w:ilvl="3">
      <w:start w:val="0"/>
      <w:numFmt w:val="bullet"/>
      <w:lvlText w:val="•"/>
      <w:lvlJc w:val="left"/>
      <w:pPr>
        <w:ind w:left="3181" w:hanging="135"/>
      </w:pPr>
      <w:rPr/>
    </w:lvl>
    <w:lvl w:ilvl="4">
      <w:start w:val="0"/>
      <w:numFmt w:val="bullet"/>
      <w:lvlText w:val="•"/>
      <w:lvlJc w:val="left"/>
      <w:pPr>
        <w:ind w:left="4162" w:hanging="135"/>
      </w:pPr>
      <w:rPr/>
    </w:lvl>
    <w:lvl w:ilvl="5">
      <w:start w:val="0"/>
      <w:numFmt w:val="bullet"/>
      <w:lvlText w:val="•"/>
      <w:lvlJc w:val="left"/>
      <w:pPr>
        <w:ind w:left="5143" w:hanging="135"/>
      </w:pPr>
      <w:rPr/>
    </w:lvl>
    <w:lvl w:ilvl="6">
      <w:start w:val="0"/>
      <w:numFmt w:val="bullet"/>
      <w:lvlText w:val="•"/>
      <w:lvlJc w:val="left"/>
      <w:pPr>
        <w:ind w:left="6123" w:hanging="135"/>
      </w:pPr>
      <w:rPr/>
    </w:lvl>
    <w:lvl w:ilvl="7">
      <w:start w:val="0"/>
      <w:numFmt w:val="bullet"/>
      <w:lvlText w:val="•"/>
      <w:lvlJc w:val="left"/>
      <w:pPr>
        <w:ind w:left="7104" w:hanging="135"/>
      </w:pPr>
      <w:rPr/>
    </w:lvl>
    <w:lvl w:ilvl="8">
      <w:start w:val="0"/>
      <w:numFmt w:val="bullet"/>
      <w:lvlText w:val="•"/>
      <w:lvlJc w:val="left"/>
      <w:pPr>
        <w:ind w:left="8085" w:hanging="13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0zFExNq79+L1LJv8l8K+l83Ig==">CgMxLjAyCGguZ2pkZ3hzOAByITFRUzFORlFmWVhZRVRYaENoT0hJWk82YVVaN3JWSUVQWQ==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