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711A140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A63DBE1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3F73975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72"/>
          <w:szCs w:val="72"/>
        </w:rPr>
        <w:t>FORMAT</w:t>
      </w:r>
    </w:p>
    <w:p w14:paraId="0E63F481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A7B8C7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Arial Narrow" w:eastAsia="Arial Narrow" w:hAnsi="Arial Narrow" w:cs="Arial Narrow"/>
          <w:b/>
          <w:color w:val="000000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DELL’ UNITÀ DI APPRENDIMENTO</w:t>
      </w:r>
    </w:p>
    <w:p w14:paraId="5C6881CF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LIMITE-CONFINE</w:t>
      </w:r>
    </w:p>
    <w:p w14:paraId="3048C209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24892F5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53AA9FA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697C818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7E40640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4"/>
          <w:szCs w:val="34"/>
        </w:rPr>
      </w:pPr>
      <w:r>
        <w:rPr>
          <w:rFonts w:ascii="Calibri" w:eastAsia="Calibri" w:hAnsi="Calibri" w:cs="Calibri"/>
          <w:color w:val="000000"/>
          <w:sz w:val="34"/>
          <w:szCs w:val="34"/>
        </w:rPr>
        <w:t>CURRICOLO VERTICALE CONCETTUALE I.C. “A. MANZONI”</w:t>
      </w:r>
    </w:p>
    <w:p w14:paraId="61D0B4AB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4"/>
          <w:szCs w:val="34"/>
        </w:rPr>
      </w:pPr>
      <w:r>
        <w:rPr>
          <w:rFonts w:ascii="Calibri" w:eastAsia="Calibri" w:hAnsi="Calibri" w:cs="Calibri"/>
          <w:color w:val="000000"/>
          <w:sz w:val="34"/>
          <w:szCs w:val="34"/>
        </w:rPr>
        <w:t>REGGIO EMILIA</w:t>
      </w:r>
    </w:p>
    <w:p w14:paraId="1EAFE1C9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759171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5598973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6FABBBE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01665B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CC06E20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D4D9CE3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5889372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38D544D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FE810A7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4D381C0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258D99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8B6012C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957BF9C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>UDA</w:t>
      </w:r>
    </w:p>
    <w:p w14:paraId="665EC093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0EBFBC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>CONSEGNA AGLI STUDENTI</w:t>
      </w:r>
    </w:p>
    <w:p w14:paraId="3CDE848F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F90460E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>PIANO DI LAVORO</w:t>
      </w:r>
    </w:p>
    <w:p w14:paraId="1CDC5457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B9C4B7F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SCHEMA DELLA RELAZIONE del DOCENTE</w:t>
      </w:r>
    </w:p>
    <w:p w14:paraId="46092253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>SULLA CONCETTUALIZZAZIONE DEGLI STUDENTI</w:t>
      </w:r>
    </w:p>
    <w:p w14:paraId="6776A62A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DD17532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789D421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D9BF570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N.B.:Il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format è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liberamente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riadattato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struttura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originale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 Franca Da Re.</w:t>
      </w:r>
      <w:r>
        <w:br w:type="page"/>
      </w:r>
    </w:p>
    <w:p w14:paraId="6323C8D7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lastRenderedPageBreak/>
        <w:t xml:space="preserve"> </w:t>
      </w:r>
    </w:p>
    <w:p w14:paraId="6EDCC362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>UDA</w:t>
      </w:r>
    </w:p>
    <w:p w14:paraId="26407A4B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5"/>
        <w:tblW w:w="9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834"/>
        <w:gridCol w:w="4899"/>
      </w:tblGrid>
      <w:tr w:rsidR="00280665" w14:paraId="2BC766E0" w14:textId="77777777">
        <w:trPr>
          <w:trHeight w:val="440"/>
        </w:trPr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0541C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UNITA’ DI APPRENDIMENTO</w:t>
            </w:r>
          </w:p>
        </w:tc>
      </w:tr>
      <w:tr w:rsidR="00280665" w14:paraId="3C243892" w14:textId="77777777">
        <w:trPr>
          <w:trHeight w:val="9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27BC4" w14:textId="77777777" w:rsidR="00280665" w:rsidRDefault="005412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C042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D66645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06E10F4F" w14:textId="77777777">
        <w:trPr>
          <w:trHeight w:val="98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002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Compito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significativo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prodotti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l’esperienza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che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è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stata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proposta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agli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studenti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73BE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A213DF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51AD6117" w14:textId="77777777">
        <w:trPr>
          <w:trHeight w:val="7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ED2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Competenze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chiave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e </w:t>
            </w:r>
          </w:p>
          <w:p w14:paraId="54DA54B2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relative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competenze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specifiche</w:t>
            </w:r>
            <w:proofErr w:type="spell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6F0099B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Evidenze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osservabili</w:t>
            </w:r>
            <w:proofErr w:type="spellEnd"/>
          </w:p>
        </w:tc>
      </w:tr>
      <w:tr w:rsidR="00280665" w14:paraId="7C20DED5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8AC6" w14:textId="77777777" w:rsidR="00280665" w:rsidRDefault="00280665"/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721E" w14:textId="77777777" w:rsidR="00280665" w:rsidRDefault="00280665"/>
        </w:tc>
      </w:tr>
      <w:tr w:rsidR="00280665" w14:paraId="0D880D34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8DD6" w14:textId="77777777" w:rsidR="00280665" w:rsidRDefault="00280665"/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1959" w14:textId="77777777" w:rsidR="00280665" w:rsidRDefault="00280665"/>
        </w:tc>
      </w:tr>
      <w:tr w:rsidR="00280665" w14:paraId="05302A1C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3B44" w14:textId="77777777" w:rsidR="00280665" w:rsidRDefault="00280665"/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6799" w14:textId="77777777" w:rsidR="00280665" w:rsidRDefault="00280665"/>
        </w:tc>
      </w:tr>
      <w:tr w:rsidR="00280665" w14:paraId="486FD134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1943" w14:textId="77777777" w:rsidR="00280665" w:rsidRDefault="00280665"/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1F5CE" w14:textId="77777777" w:rsidR="00280665" w:rsidRDefault="00280665"/>
        </w:tc>
      </w:tr>
      <w:tr w:rsidR="00280665" w14:paraId="4FED6AA4" w14:textId="77777777">
        <w:trPr>
          <w:trHeight w:val="66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8AEA" w14:textId="77777777" w:rsidR="00280665" w:rsidRDefault="005412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Abilità</w:t>
            </w:r>
            <w:proofErr w:type="spellEnd"/>
          </w:p>
          <w:p w14:paraId="5D12F05F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(in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riga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gruppi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abilità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conoscenze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riferiti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ad una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singola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competenza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63A6" w14:textId="77777777" w:rsidR="00280665" w:rsidRDefault="005412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Concetti</w:t>
            </w:r>
            <w:proofErr w:type="spellEnd"/>
          </w:p>
          <w:p w14:paraId="1CA7A9CE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Esprimi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qui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cosa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ti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aspetti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stimolare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come</w:t>
            </w:r>
          </w:p>
          <w:p w14:paraId="6729F6C9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concettualizzazione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limite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/confine)</w:t>
            </w:r>
          </w:p>
        </w:tc>
      </w:tr>
      <w:tr w:rsidR="00280665" w14:paraId="1FB2836E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E573" w14:textId="77777777" w:rsidR="00280665" w:rsidRDefault="00280665"/>
        </w:tc>
        <w:tc>
          <w:tcPr>
            <w:tcW w:w="4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5EBF" w14:textId="77777777" w:rsidR="00280665" w:rsidRDefault="00280665"/>
        </w:tc>
      </w:tr>
      <w:tr w:rsidR="00280665" w14:paraId="2E456C82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D5B9" w14:textId="77777777" w:rsidR="00280665" w:rsidRDefault="00280665"/>
        </w:tc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EDFA" w14:textId="77777777" w:rsidR="00280665" w:rsidRDefault="0028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80665" w14:paraId="77B33B9A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8527" w14:textId="77777777" w:rsidR="00280665" w:rsidRDefault="00280665"/>
        </w:tc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FF68" w14:textId="77777777" w:rsidR="00280665" w:rsidRDefault="0028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80665" w14:paraId="6C580F7D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88B2" w14:textId="77777777" w:rsidR="00280665" w:rsidRDefault="00280665"/>
        </w:tc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D0FC" w14:textId="77777777" w:rsidR="00280665" w:rsidRDefault="0028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80665" w14:paraId="40065580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143E" w14:textId="77777777" w:rsidR="00280665" w:rsidRDefault="00280665"/>
        </w:tc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3C4D" w14:textId="77777777" w:rsidR="00280665" w:rsidRDefault="0028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80665" w14:paraId="6B95146F" w14:textId="77777777">
        <w:trPr>
          <w:trHeight w:val="300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EF55" w14:textId="77777777" w:rsidR="00280665" w:rsidRDefault="00280665"/>
        </w:tc>
        <w:tc>
          <w:tcPr>
            <w:tcW w:w="4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C75EF" w14:textId="77777777" w:rsidR="00280665" w:rsidRDefault="0028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80665" w14:paraId="70E8C70F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D28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Utenti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1D3F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7D129BD5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8E1A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Tempi 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3478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5C29B28B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3C14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Esperienze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attivate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B54A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03646328" w14:textId="77777777">
        <w:trPr>
          <w:trHeight w:val="121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767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lastRenderedPageBreak/>
              <w:t>Metodologie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comuni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:</w:t>
            </w:r>
          </w:p>
          <w:p w14:paraId="6DD438EC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Narrazione</w:t>
            </w:r>
            <w:proofErr w:type="spellEnd"/>
          </w:p>
          <w:p w14:paraId="0198AE73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Socializzazione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degli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apprendimenti</w:t>
            </w:r>
            <w:proofErr w:type="spellEnd"/>
          </w:p>
          <w:p w14:paraId="596916DE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Valutazione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formativa</w:t>
            </w:r>
            <w:proofErr w:type="spellEnd"/>
          </w:p>
          <w:p w14:paraId="2F9F191E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Altre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metodologie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scelte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6A5F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7CED88C0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A230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Risorse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umane</w:t>
            </w:r>
            <w:proofErr w:type="spellEnd"/>
          </w:p>
          <w:p w14:paraId="5A26EF2A" w14:textId="77777777" w:rsidR="00280665" w:rsidRDefault="005412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interne</w:t>
            </w:r>
          </w:p>
          <w:p w14:paraId="22B21565" w14:textId="77777777" w:rsidR="00280665" w:rsidRDefault="005412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esterne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9630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3C821070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1B5F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Strumenti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materiali</w:t>
            </w:r>
            <w:proofErr w:type="spellEnd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DB7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80665" w14:paraId="2441E1AD" w14:textId="77777777">
        <w:trPr>
          <w:trHeight w:val="74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78F8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Valutazione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formativa</w:t>
            </w:r>
            <w:proofErr w:type="spellEnd"/>
          </w:p>
          <w:p w14:paraId="53D6AB98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vari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momenti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della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valutazione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B67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7B79CD" w14:textId="77777777" w:rsidR="00280665" w:rsidRDefault="00280665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Calibri" w:eastAsia="Calibri" w:hAnsi="Calibri" w:cs="Calibri"/>
          <w:color w:val="000000"/>
          <w:sz w:val="22"/>
          <w:szCs w:val="22"/>
        </w:rPr>
      </w:pPr>
    </w:p>
    <w:p w14:paraId="31FC59AE" w14:textId="77777777" w:rsidR="00280665" w:rsidRDefault="002806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909487F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42EF346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14:paraId="083794AE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lastRenderedPageBreak/>
        <w:t>LA CONSEGNA AGLI STUDENTI</w:t>
      </w:r>
    </w:p>
    <w:p w14:paraId="574F9F4A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49ED00C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Per “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consegna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”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intende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il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documento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l’équipe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dei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docenti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formatori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presenta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agli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studenti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sulla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base del quale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essi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si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attivano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realizzando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il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prodotto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nei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tempi 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nei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modi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definii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tenendo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presente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anche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criteri</w:t>
      </w:r>
      <w:proofErr w:type="spellEnd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di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valutazione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>.</w:t>
      </w:r>
    </w:p>
    <w:p w14:paraId="7BA020FE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1E98CC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1^ nota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: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il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linguaggio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deve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essere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accessibile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comprensibile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semplice 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concreto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>.</w:t>
      </w:r>
    </w:p>
    <w:p w14:paraId="35D8B2EF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555915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2^ nota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: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l’Uda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prevede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dei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compiti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problema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per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certi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versi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sono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“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oltre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misura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”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ovvero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richiedono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agli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studenti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competenze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e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loro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articolazioni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conoscenze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abilità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capacità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ancora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non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possiedono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ma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possono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acquisire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autonomamente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Ciò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in forza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della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potenzialità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del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metodo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laboratoriale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porta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alla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scoperta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ed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alla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conquista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personale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del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sapere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. </w:t>
      </w:r>
    </w:p>
    <w:p w14:paraId="464767CD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65EFE6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3^ nota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: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l’Uda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mette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in moto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processi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di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apprendimento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che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non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debbono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solo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rifluire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nel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“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prodotto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”, ma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fornire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spunti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ed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agganci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per una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ripresa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dei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</w:t>
      </w:r>
      <w:r>
        <w:rPr>
          <w:rFonts w:ascii="Arial Narrow" w:eastAsia="Arial Narrow" w:hAnsi="Arial Narrow" w:cs="Arial Narrow"/>
          <w:sz w:val="18"/>
          <w:szCs w:val="18"/>
        </w:rPr>
        <w:t>cetti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attraverso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la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riflessione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l’esposizione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il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consolidamento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di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quanto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18"/>
          <w:szCs w:val="18"/>
        </w:rPr>
        <w:t>appreso</w:t>
      </w:r>
      <w:proofErr w:type="spellEnd"/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.   </w:t>
      </w:r>
    </w:p>
    <w:p w14:paraId="2DB12EE3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</w:t>
      </w:r>
    </w:p>
    <w:p w14:paraId="01607643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6"/>
        <w:tblW w:w="9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64"/>
      </w:tblGrid>
      <w:tr w:rsidR="00280665" w14:paraId="280CB5F7" w14:textId="77777777">
        <w:trPr>
          <w:trHeight w:val="38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599DD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COSA HO COMUNICATO AGLI STUDENTI</w:t>
            </w:r>
          </w:p>
        </w:tc>
      </w:tr>
      <w:tr w:rsidR="00280665" w14:paraId="1989657F" w14:textId="77777777">
        <w:trPr>
          <w:trHeight w:val="618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7B5B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62157F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DF6EE6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Titolo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UdA</w:t>
            </w:r>
            <w:proofErr w:type="spellEnd"/>
          </w:p>
          <w:p w14:paraId="2BAE252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2D41A7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E08242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Cosa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chiede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di fare</w:t>
            </w:r>
          </w:p>
          <w:p w14:paraId="095F5BEA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55C38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3AC944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che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modo 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singoli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gruppi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..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)</w:t>
            </w:r>
          </w:p>
          <w:p w14:paraId="65480A85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C881D6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29A957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Quali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prodotti</w:t>
            </w:r>
            <w:proofErr w:type="spellEnd"/>
          </w:p>
          <w:p w14:paraId="135223BC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318E75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3300F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Che senso ha (a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cosa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serve, per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quali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apprendimenti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)</w:t>
            </w:r>
          </w:p>
          <w:p w14:paraId="40B8AAC5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77C1379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03BC82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Tempi</w:t>
            </w:r>
          </w:p>
          <w:p w14:paraId="30639FDE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8F8DCEA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3FF1F8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Risorse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strumenti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consulenze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opportunità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…)</w:t>
            </w:r>
          </w:p>
          <w:p w14:paraId="7632A5C3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0E0E9F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653A914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Criteri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valutazione</w:t>
            </w:r>
            <w:proofErr w:type="spellEnd"/>
          </w:p>
          <w:p w14:paraId="528A2A66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0775D4" w14:textId="77777777" w:rsidR="00280665" w:rsidRDefault="00280665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Calibri" w:eastAsia="Calibri" w:hAnsi="Calibri" w:cs="Calibri"/>
          <w:color w:val="000000"/>
          <w:sz w:val="22"/>
          <w:szCs w:val="22"/>
        </w:rPr>
      </w:pPr>
    </w:p>
    <w:p w14:paraId="044024CE" w14:textId="77777777" w:rsidR="00280665" w:rsidRDefault="002806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BD09DB2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3E8B9A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</w:p>
    <w:p w14:paraId="637EA042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BD6F3FF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>SCHEMA DELLA RELAZIONE del DOCENTE</w:t>
      </w:r>
    </w:p>
    <w:p w14:paraId="505B4651" w14:textId="77777777" w:rsidR="00280665" w:rsidRDefault="005412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>SULLA CONCETTUALIZZAZIONE DEGLI STUDENTI</w:t>
      </w:r>
    </w:p>
    <w:p w14:paraId="58A5729B" w14:textId="77777777" w:rsidR="00280665" w:rsidRDefault="0028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7"/>
        <w:tblW w:w="9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64"/>
      </w:tblGrid>
      <w:tr w:rsidR="00280665" w14:paraId="2297828D" w14:textId="77777777">
        <w:trPr>
          <w:trHeight w:val="42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A94B3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RELAZIONE INDIVIDUALE</w:t>
            </w:r>
          </w:p>
        </w:tc>
      </w:tr>
      <w:tr w:rsidR="00280665" w14:paraId="06C75660" w14:textId="77777777">
        <w:trPr>
          <w:trHeight w:val="481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27CD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9BAF61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Descrivi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percorso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generale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dell’attività</w:t>
            </w:r>
            <w:proofErr w:type="spellEnd"/>
          </w:p>
          <w:p w14:paraId="4CA3CFCA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675106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9C33E9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Indica come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avete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svolto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compito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e come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erano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presenti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metodologie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fondanti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curricolo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verticale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di istituto: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narrazione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socializzazione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degli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apprendimenti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valutazione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formativa</w:t>
            </w:r>
            <w:proofErr w:type="spellEnd"/>
          </w:p>
          <w:p w14:paraId="1C805E98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B9A4E5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F79719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Indica come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hai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affrontato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concetto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e come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bambini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hanno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espresso la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loro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concettualizzazione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(parole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usate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immagini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realizzate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spazi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semantici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affini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collegamenti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altri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concetti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…)</w:t>
            </w:r>
          </w:p>
          <w:p w14:paraId="4C6C4C82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1BFFA6E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F73AAE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Che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cosa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hai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compreso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questa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unità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apprendimento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.            </w:t>
            </w:r>
          </w:p>
          <w:p w14:paraId="639314A1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  <w:p w14:paraId="1C8B423A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  <w:p w14:paraId="2578677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  <w:p w14:paraId="17260325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Quali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ambiti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disciplinari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sono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stati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coinvolti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dalle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esperienze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sul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concetto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.</w:t>
            </w:r>
          </w:p>
          <w:p w14:paraId="28535DC9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</w:p>
          <w:p w14:paraId="2141BC7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1E7EFE7" w14:textId="77777777" w:rsidR="00280665" w:rsidRDefault="00280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9EB667A" w14:textId="77777777" w:rsidR="00280665" w:rsidRDefault="005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Come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valuti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lavoro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svolto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849649D" w14:textId="77777777" w:rsidR="00280665" w:rsidRDefault="00280665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</w:p>
    <w:sectPr w:rsidR="002806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BDB07" w14:textId="77777777" w:rsidR="007A3A47" w:rsidRDefault="00541297">
      <w:r>
        <w:separator/>
      </w:r>
    </w:p>
  </w:endnote>
  <w:endnote w:type="continuationSeparator" w:id="0">
    <w:p w14:paraId="0045731B" w14:textId="77777777" w:rsidR="007A3A47" w:rsidRDefault="0054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9D6E" w14:textId="77777777" w:rsidR="00280665" w:rsidRDefault="00280665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14:paraId="15507761" w14:textId="77777777" w:rsidR="00280665" w:rsidRDefault="00541297">
    <w:pPr>
      <w:pBdr>
        <w:top w:val="nil"/>
        <w:left w:val="nil"/>
        <w:bottom w:val="nil"/>
        <w:right w:val="nil"/>
        <w:between w:val="nil"/>
      </w:pBdr>
      <w:spacing w:after="39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STRUMENTI DI DIDATTICA PER COMPETENZE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:  FORMAT UDA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  <w:t xml:space="preserve">Pag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 xml:space="preserve"> di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2017" w14:textId="77777777" w:rsidR="00280665" w:rsidRDefault="002806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5964E" w14:textId="77777777" w:rsidR="007A3A47" w:rsidRDefault="00541297">
      <w:r>
        <w:separator/>
      </w:r>
    </w:p>
  </w:footnote>
  <w:footnote w:type="continuationSeparator" w:id="0">
    <w:p w14:paraId="73602D5B" w14:textId="77777777" w:rsidR="007A3A47" w:rsidRDefault="0054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047CA" w14:textId="77777777" w:rsidR="00280665" w:rsidRDefault="002806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700F7" w14:textId="77777777" w:rsidR="00280665" w:rsidRDefault="002806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8179E"/>
    <w:multiLevelType w:val="multilevel"/>
    <w:tmpl w:val="92880A2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65"/>
    <w:rsid w:val="00280665"/>
    <w:rsid w:val="00541297"/>
    <w:rsid w:val="00684009"/>
    <w:rsid w:val="007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C90A"/>
  <w15:docId w15:val="{AAD7B054-29B2-4081-8764-4C3DC21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K0QvVWO+NcEfLAemGNknJwntw==">AMUW2mUeHxACRy11EsgQIYaPMGDzTUQlN3ig7Q6CFJ0NZJrMoOqrHvly5RQahToRcu7RRf6yohwfhULdTfPTXMzSb7K/CU06azfd1369uOSXF8iHdWvltTsaBwG2Uj7DXAayBME4W9Xh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mussini</dc:creator>
  <cp:lastModifiedBy>elena mussini</cp:lastModifiedBy>
  <cp:revision>2</cp:revision>
  <dcterms:created xsi:type="dcterms:W3CDTF">2020-08-28T08:58:00Z</dcterms:created>
  <dcterms:modified xsi:type="dcterms:W3CDTF">2020-08-28T08:58:00Z</dcterms:modified>
</cp:coreProperties>
</file>