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D15" w:rsidRDefault="002D5A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lang w:eastAsia="it-IT"/>
        </w:rPr>
        <w:drawing>
          <wp:inline distT="0" distB="0" distL="114300" distR="114300">
            <wp:extent cx="6298565" cy="1918335"/>
            <wp:effectExtent l="0" t="0" r="0" b="0"/>
            <wp:docPr id="1029" name="image1.png" descr="\\DC01\condivisa\00 CARTA INTESTATA\CARTA INTESTATA_Senza Piè di Pagina\Intestazion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\\DC01\condivisa\00 CARTA INTESTATA\CARTA INTESTATA_Senza Piè di Pagina\Intestazione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8565" cy="1918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D15" w:rsidRDefault="002D5A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Al Sito web istituzionale</w:t>
      </w:r>
    </w:p>
    <w:p w:rsidR="00071D15" w:rsidRDefault="002D5A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All’Albo on-line </w:t>
      </w:r>
    </w:p>
    <w:p w:rsidR="00071D15" w:rsidRDefault="002D5A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Alla sezione amm.ne trasparente</w:t>
      </w:r>
    </w:p>
    <w:p w:rsidR="00071D15" w:rsidRDefault="002D5A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Al Direttore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S.G.A.</w:t>
      </w:r>
      <w:proofErr w:type="spellEnd"/>
    </w:p>
    <w:p w:rsidR="00071D15" w:rsidRDefault="002D5A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Al Consiglio di Istituto</w:t>
      </w:r>
    </w:p>
    <w:p w:rsidR="00071D15" w:rsidRDefault="002D5A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Agli atti</w:t>
      </w:r>
    </w:p>
    <w:p w:rsidR="00071D15" w:rsidRDefault="00071D15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</w:p>
    <w:p w:rsidR="00071D15" w:rsidRDefault="002D5A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PIANO NAZIONALE </w:t>
      </w:r>
      <w:proofErr w:type="spellStart"/>
      <w:r>
        <w:rPr>
          <w:rFonts w:ascii="Verdana" w:eastAsia="Verdana" w:hAnsi="Verdana" w:cs="Verdana"/>
          <w:b/>
          <w:color w:val="000000"/>
          <w:sz w:val="18"/>
          <w:szCs w:val="18"/>
        </w:rPr>
        <w:t>DI</w:t>
      </w:r>
      <w:proofErr w:type="spellEnd"/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RIPRESA E RESILIENZA</w:t>
      </w:r>
    </w:p>
    <w:p w:rsidR="00071D15" w:rsidRDefault="002D5A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MISSIONE 4: ISTRUZIONE E RICERCA</w:t>
      </w:r>
    </w:p>
    <w:p w:rsidR="00071D15" w:rsidRDefault="002D5A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Componente 1 - Potenziamento dell’offerta dei servizi di istruzione: dagli asili nido alle Università</w:t>
      </w:r>
    </w:p>
    <w:p w:rsidR="00071D15" w:rsidRDefault="002D5A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Investimento 3.1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br/>
        <w:t xml:space="preserve">Nuove competenze e nuovi linguaggi Azioni di potenziamento delle competenze STEM e </w:t>
      </w:r>
      <w:proofErr w:type="spellStart"/>
      <w:r>
        <w:rPr>
          <w:rFonts w:ascii="Verdana" w:eastAsia="Verdana" w:hAnsi="Verdana" w:cs="Verdana"/>
          <w:b/>
          <w:color w:val="000000"/>
          <w:sz w:val="18"/>
          <w:szCs w:val="18"/>
        </w:rPr>
        <w:t>multilinguistiche</w:t>
      </w:r>
      <w:proofErr w:type="spellEnd"/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(D.M.65/2023)</w:t>
      </w:r>
    </w:p>
    <w:p w:rsidR="00071D15" w:rsidRDefault="002D5A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CUP: F94D23002190006 - Codice progetto: M4C1I3.1-2023-1143-P-31254</w:t>
      </w:r>
    </w:p>
    <w:p w:rsidR="00071D15" w:rsidRDefault="00071D15" w:rsidP="00AE20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:rsidR="00071D15" w:rsidRDefault="002D5A91" w:rsidP="00AE20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Oggetto: GRADUATORIA </w:t>
      </w:r>
      <w:r w:rsidR="00AE2085">
        <w:rPr>
          <w:rFonts w:ascii="Verdana" w:eastAsia="Verdana" w:hAnsi="Verdana" w:cs="Verdana"/>
          <w:b/>
          <w:color w:val="000000"/>
          <w:sz w:val="18"/>
          <w:szCs w:val="18"/>
        </w:rPr>
        <w:t xml:space="preserve">DEFINITIVA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delle candidature pervenute in relazione all’AVVISO UNICO per la SELEZIONE di PERSONALE INTERNO/ESTERNO per il ruolo di docenti ESPERTI </w:t>
      </w:r>
      <w:r>
        <w:rPr>
          <w:rFonts w:ascii="Verdana" w:eastAsia="Verdana" w:hAnsi="Verdana" w:cs="Verdana"/>
          <w:b/>
          <w:sz w:val="18"/>
          <w:szCs w:val="18"/>
        </w:rPr>
        <w:t xml:space="preserve">e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TUTOR nei percorsi afferenti al progetto “</w:t>
      </w:r>
      <w:r>
        <w:rPr>
          <w:rFonts w:ascii="Verdana" w:eastAsia="Verdana" w:hAnsi="Verdana" w:cs="Verdana"/>
          <w:b/>
          <w:i/>
          <w:color w:val="000000"/>
          <w:sz w:val="18"/>
          <w:szCs w:val="18"/>
        </w:rPr>
        <w:t xml:space="preserve">competenze </w:t>
      </w:r>
      <w:proofErr w:type="spellStart"/>
      <w:r>
        <w:rPr>
          <w:rFonts w:ascii="Verdana" w:eastAsia="Verdana" w:hAnsi="Verdana" w:cs="Verdana"/>
          <w:b/>
          <w:i/>
          <w:color w:val="000000"/>
          <w:sz w:val="18"/>
          <w:szCs w:val="18"/>
        </w:rPr>
        <w:t>stem</w:t>
      </w:r>
      <w:proofErr w:type="spellEnd"/>
      <w:r>
        <w:rPr>
          <w:rFonts w:ascii="Verdana" w:eastAsia="Verdana" w:hAnsi="Verdana" w:cs="Verdana"/>
          <w:b/>
          <w:i/>
          <w:color w:val="000000"/>
          <w:sz w:val="18"/>
          <w:szCs w:val="18"/>
        </w:rPr>
        <w:t xml:space="preserve"> e </w:t>
      </w:r>
      <w:proofErr w:type="spellStart"/>
      <w:r>
        <w:rPr>
          <w:rFonts w:ascii="Verdana" w:eastAsia="Verdana" w:hAnsi="Verdana" w:cs="Verdana"/>
          <w:b/>
          <w:i/>
          <w:color w:val="000000"/>
          <w:sz w:val="18"/>
          <w:szCs w:val="18"/>
        </w:rPr>
        <w:t>multilinguistiche</w:t>
      </w:r>
      <w:proofErr w:type="spellEnd"/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”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finanziato nell’ambito del decreto del Ministro dell’istruzione e del merito 12 aprile 2023, n. 65, Missione 4 – Istruzione e Ricerca – Componente 1 – Potenziamento dell’offerta dei servizi di istruzione: dagli asili nido alle Università – Investimento 3.1: Nuove competenze e nuovi linguaggi - Azioni di potenziamento delle competenze STEM e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multilinguistiche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(D.M. 65/2023).</w:t>
      </w:r>
    </w:p>
    <w:p w:rsidR="00071D15" w:rsidRDefault="00071D15" w:rsidP="00AE208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after="0" w:line="276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</w:p>
    <w:p w:rsidR="00071D15" w:rsidRDefault="00071D15" w:rsidP="00AE208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after="0" w:line="276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</w:p>
    <w:p w:rsidR="00071D15" w:rsidRDefault="002D5A91" w:rsidP="00AE2085">
      <w:pPr>
        <w:widowControl w:val="0"/>
        <w:pBdr>
          <w:top w:val="single" w:sz="4" w:space="1" w:color="000000"/>
          <w:left w:val="nil"/>
          <w:bottom w:val="single" w:sz="4" w:space="1" w:color="000000"/>
          <w:right w:val="nil"/>
          <w:between w:val="nil"/>
        </w:pBdr>
        <w:spacing w:before="16" w:after="0" w:line="276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La seguente procedura è espletata in conformità ai principi di trasparenza,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br/>
        <w:t xml:space="preserve">pubblicità, parità di trattamento, buon andamento, economicità,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br/>
        <w:t>efficacia e tempestività dell’azione amministrativa.</w:t>
      </w:r>
    </w:p>
    <w:p w:rsidR="00071D15" w:rsidRDefault="00071D15" w:rsidP="00AE208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right="1390" w:hanging="2"/>
        <w:jc w:val="center"/>
        <w:rPr>
          <w:rFonts w:ascii="Verdana" w:eastAsia="Verdana" w:hAnsi="Verdana" w:cs="Verdana"/>
          <w:b/>
          <w:color w:val="000000"/>
          <w:sz w:val="18"/>
          <w:szCs w:val="18"/>
        </w:rPr>
      </w:pPr>
    </w:p>
    <w:p w:rsidR="00071D15" w:rsidRDefault="00AE2085" w:rsidP="00AE208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Chars="0" w:left="2" w:right="2692" w:hanging="2"/>
        <w:jc w:val="center"/>
        <w:rPr>
          <w:rFonts w:ascii="Verdana" w:eastAsia="Verdana" w:hAnsi="Verdana" w:cs="Verdana"/>
          <w:b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lastRenderedPageBreak/>
        <w:t xml:space="preserve">                                              </w:t>
      </w:r>
      <w:r w:rsidR="002D5A91">
        <w:rPr>
          <w:rFonts w:ascii="Verdana" w:eastAsia="Verdana" w:hAnsi="Verdana" w:cs="Verdana"/>
          <w:b/>
          <w:color w:val="000000"/>
          <w:sz w:val="18"/>
          <w:szCs w:val="18"/>
        </w:rPr>
        <w:t>IL DIRIGENTE SCOLASTICO</w:t>
      </w:r>
    </w:p>
    <w:p w:rsidR="00071D15" w:rsidRDefault="00071D15" w:rsidP="00AE208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right="1390" w:hanging="2"/>
        <w:jc w:val="center"/>
        <w:rPr>
          <w:rFonts w:ascii="Verdana" w:eastAsia="Verdana" w:hAnsi="Verdana" w:cs="Verdana"/>
          <w:b/>
          <w:sz w:val="18"/>
          <w:szCs w:val="18"/>
        </w:rPr>
      </w:pPr>
    </w:p>
    <w:tbl>
      <w:tblPr>
        <w:tblStyle w:val="a4"/>
        <w:tblW w:w="96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980"/>
        <w:gridCol w:w="7650"/>
      </w:tblGrid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hanging="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la legge 7 agosto 1990, n. 241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 xml:space="preserve">“Nuove norme in materia di procedimento amministrativo e di diritto di accesso ai documenti amministrativi”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ss.mm.ii.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</w:tc>
      </w:tr>
      <w:tr w:rsidR="00071D15">
        <w:trPr>
          <w:cantSplit/>
          <w:trHeight w:val="63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hanging="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la legge 15 marzo 1997 n. 59, concernente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“Delega al Governo per il conferimento di funzioni e compiti alle regioni ed enti locali, per la riforma della Pubblica Amministrazione e per la semplificazione amministrativa"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, e, in particolare l’articolo 21;</w:t>
            </w:r>
          </w:p>
        </w:tc>
      </w:tr>
      <w:tr w:rsidR="00071D15">
        <w:trPr>
          <w:cantSplit/>
          <w:trHeight w:val="61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hanging="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il Decreto del Presidente della Repubblica 8 marzo 1999, n. 275, concernente il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Regolamento recante norme in materia di autonomia delle Istituzioni Scolastiche, ai sensi della legge 15 marzo 1997, n.59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</w:tc>
      </w:tr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hanging="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il Decreto Legislativo 30 marzo 2001, n.165 recante “Norme generali sull’ordinamento del lavoro alle dipendenze delle Amministrazioni Pubbliche” e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ss.mm.ii.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</w:tc>
      </w:tr>
      <w:tr w:rsidR="00071D15">
        <w:trPr>
          <w:cantSplit/>
          <w:trHeight w:val="145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hanging="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la legge 16 gennaio 2003, n.3, recante “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 xml:space="preserve">Disposizioni </w:t>
            </w:r>
            <w:proofErr w:type="spellStart"/>
            <w:r>
              <w:rPr>
                <w:rFonts w:ascii="Verdana" w:eastAsia="Verdana" w:hAnsi="Verdana" w:cs="Verdana"/>
                <w:i/>
                <w:sz w:val="18"/>
                <w:szCs w:val="18"/>
              </w:rPr>
              <w:t>ordinamentali</w:t>
            </w:r>
            <w:proofErr w:type="spellEnd"/>
            <w:r>
              <w:rPr>
                <w:rFonts w:ascii="Verdana" w:eastAsia="Verdana" w:hAnsi="Verdana" w:cs="Verdana"/>
                <w:i/>
                <w:sz w:val="18"/>
                <w:szCs w:val="18"/>
              </w:rPr>
              <w:t xml:space="preserve"> in materia di pubblica amministrazione” 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, in particolare, l’articolo 11, comma 2-bis, ai sensi del quale “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gli atti amministrativi anche  di natura regolamentare adottati dalle Amministrazioni di cui all’articolo 1, comma 2, del decreto legislativo 30 marzo 2001, n. 165, che dispongono il finanziamento pubblico o autorizzano l’esecuzione di progetti di investimento pubblico, sono nulli in assenza dei corrispondenti codici di cui al comma 1 che costituiscono elemento essenziale dell’atto stesso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”;</w:t>
            </w:r>
          </w:p>
        </w:tc>
      </w:tr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hanging="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il Decreto Legislativo del 10 settembre 2003, n.276, recante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«Attuazione delle deleghe in materia di occupazione e mercato del lavoro,di cui alla legge 14 febbraio 2003, n.30»;</w:t>
            </w:r>
          </w:p>
        </w:tc>
      </w:tr>
      <w:tr w:rsidR="00071D15">
        <w:trPr>
          <w:cantSplit/>
          <w:trHeight w:val="61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hanging="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la Circolare INPS del 6 luglio 2004, n. 103, avente ad oggetto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«Legge 24 novembre 2003, n. 326 - art.44. Esercenti attività di lavoro autonomo occasionale e incaricati alle vendite a domicilio. Chiarimenti»;</w:t>
            </w:r>
          </w:p>
        </w:tc>
      </w:tr>
      <w:tr w:rsidR="00071D15">
        <w:trPr>
          <w:cantSplit/>
          <w:trHeight w:val="63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hanging="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il Decreto Legislativo del 9 aprile 2008, n.81, avente ad oggetto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«Attuazione dell'articolo 1 della legge 3 agosto 2007, n. 123, in materia di tutela della salute e della sicurezza nei luoghi di lavoro»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</w:tc>
      </w:tr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hanging="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la circolare n.2 del 2 febbraio 2009 del Ministero del Lavoro che regolamenta i compensi, gli aspetti fiscali e contributivi per gli incarichi ed impieghi nella P.A.;</w:t>
            </w:r>
          </w:p>
        </w:tc>
      </w:tr>
      <w:tr w:rsidR="00071D15">
        <w:trPr>
          <w:cantSplit/>
          <w:trHeight w:val="63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hanging="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la Circolare della Presidenza del Consiglio dei Ministri - Dipartimento della funzione pubblica n.2 dell’11 marzo 2008, avente ad oggetto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«Legge 24 dicembre 2007, n.244, disposizioni in tema di collaborazioni esterne”»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</w:tc>
      </w:tr>
      <w:tr w:rsidR="00071D15">
        <w:trPr>
          <w:cantSplit/>
          <w:trHeight w:val="63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hanging="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il Decreto Legislativo del 14 marzo 2013, n. 33, recante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«Riordino della disciplina riguardante il diritto di accesso civico e gli obblighi di pubblicità, trasparenza e diffusione di informazioni da parte delle pubbliche amministrazioni»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</w:tc>
      </w:tr>
      <w:tr w:rsidR="00071D15">
        <w:trPr>
          <w:cantSplit/>
          <w:trHeight w:val="84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il Decreto Legislativo dell’8 aprile 2013, n.39, avente ad oggetto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 xml:space="preserve">«Disposizioni in materia di </w:t>
            </w:r>
            <w:proofErr w:type="spellStart"/>
            <w:r>
              <w:rPr>
                <w:rFonts w:ascii="Verdana" w:eastAsia="Verdana" w:hAnsi="Verdana" w:cs="Verdana"/>
                <w:i/>
                <w:sz w:val="18"/>
                <w:szCs w:val="18"/>
              </w:rPr>
              <w:t>inconferibilità</w:t>
            </w:r>
            <w:proofErr w:type="spellEnd"/>
            <w:r>
              <w:rPr>
                <w:rFonts w:ascii="Verdana" w:eastAsia="Verdana" w:hAnsi="Verdana" w:cs="Verdana"/>
                <w:i/>
                <w:sz w:val="18"/>
                <w:szCs w:val="18"/>
              </w:rPr>
              <w:t xml:space="preserve"> e incompatibilità di incarichi presso le pubbliche amministrazioni e presso gli enti privati in controllo pubblico, a norma dell'articolo 1, commi 49 e 50, della legge 6 novembre 2012, n. 190»;</w:t>
            </w:r>
          </w:p>
        </w:tc>
      </w:tr>
      <w:tr w:rsidR="00071D15">
        <w:trPr>
          <w:cantSplit/>
          <w:trHeight w:val="63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lastRenderedPageBreak/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il Decreto Legislativo del 15 giugno 2015, n.81, concernente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«Disciplina organica dei contratti di lavoro e revisione della normativa in tema di mansioni, a norma dell'articolo 1, comma 7, della legge 10 dicembre 2014, n.183»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</w:tc>
      </w:tr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la Legge 13 luglio 2015 n. 107, concernente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“Riforma del sistema nazionale di istruzione e formazione e delega per il riordino delle disposizioni legislative vigenti”;</w:t>
            </w:r>
          </w:p>
        </w:tc>
      </w:tr>
      <w:tr w:rsidR="00071D15">
        <w:trPr>
          <w:cantSplit/>
          <w:trHeight w:val="63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before="240"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il Regolamento (UE) 2016/679 del 14 aprile 2016, relativo alla protezione delle persone fisiche con riguardo al trattamento dei dati personali, nonché alla libera circolazione di tali dati e che abroga la direttiva 95/46/CE (Regolamento generale sulla protezione dei dati);</w:t>
            </w:r>
          </w:p>
        </w:tc>
      </w:tr>
      <w:tr w:rsidR="00071D15">
        <w:trPr>
          <w:cantSplit/>
          <w:trHeight w:val="63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la Circolare del Ministero dell’Istruzione, dell’Università e della Ricerca n. 34815 del 2 agosto 2017, relativa alla procedura di individuazione del personale esperto e dei connessi adempimenti di natura fiscale, previdenziale e assistenziale;</w:t>
            </w:r>
          </w:p>
        </w:tc>
      </w:tr>
      <w:tr w:rsidR="00071D15">
        <w:trPr>
          <w:cantSplit/>
          <w:trHeight w:val="63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la Circolare del Ministero per la semplificazione e la pubblica amministrazione n. 3 del 23 novembre 2017, recante «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Indirizzi operativi in materia di valorizzazione dell’esperienza professionale del personale con contratto di lavoro flessibile e superamento del precariato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»;</w:t>
            </w:r>
          </w:p>
        </w:tc>
      </w:tr>
      <w:tr w:rsidR="00071D15">
        <w:trPr>
          <w:cantSplit/>
          <w:trHeight w:val="63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il D.I. 28 agosto 2018, n.129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“Regolamento recante istruzioni generali sulla gestione amministrativo-contabile delle istituzioni scolastiche, ai sensi dell'articolo 1, comma 143, della legge 13 luglio 2015, n.107”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</w:tc>
      </w:tr>
      <w:tr w:rsidR="00071D15">
        <w:trPr>
          <w:cantSplit/>
          <w:trHeight w:val="84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il regolamento interno dell’Istituto Scolastico Nelson Mandela inerente i servizi, lavori e forniture, nonché le attività istruttorie e contrattuali inerenti il reclutamento degli esperti esterni ed ulteriori attività deliberato dal Consiglio di Istituto nella seduta del 23/02/2019 con delibera n.180;</w:t>
            </w:r>
          </w:p>
        </w:tc>
      </w:tr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il Quaderno n. 3 del Ministero dell’Istruzione, del novembre 2020, recante Istruzioni per il conferimento di incarichi individuali;</w:t>
            </w:r>
          </w:p>
        </w:tc>
      </w:tr>
      <w:tr w:rsidR="00071D15">
        <w:trPr>
          <w:cantSplit/>
          <w:trHeight w:val="61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il decreto-legge 16 luglio 2020, n. 76, convertito, con modificazioni, dalla legge 11 settembre 2020, n. 120, recante “Misure urgenti per la semplificazione e l’innovazione digitale”, che ha modificato la legge istitutiva del codice CUP;</w:t>
            </w:r>
          </w:p>
        </w:tc>
      </w:tr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il decreto del Presidente del Consiglio dei ministri del 30 settembre 2020 n. 166, recante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“Regolamento concernente l’organizzazione del Ministero dell’Istruzione”;</w:t>
            </w:r>
          </w:p>
        </w:tc>
      </w:tr>
      <w:tr w:rsidR="00071D15">
        <w:trPr>
          <w:cantSplit/>
          <w:trHeight w:val="124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il decreto-legge del 10 settembre 2021, n. 121, convertito con modificazioni dalla Legge 9 novembre 2021, n. 156, recante «Disposizioni urgenti in materia di investimenti e sicurezza delle infrastrutture, dei trasporti e della circolazione stradale, per la funzionalità del Ministero delle infrastrutture e della mobilità sostenibili, del Consiglio superiore dei lavori pubblici e dell’Agenzia nazionale per la sicurezza delle ferrovie e delle infrastrutture stradali e autostradali»;</w:t>
            </w:r>
          </w:p>
        </w:tc>
      </w:tr>
      <w:tr w:rsidR="00071D15">
        <w:trPr>
          <w:cantSplit/>
          <w:trHeight w:val="186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lastRenderedPageBreak/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in particolare, l’art. 10, comma 4, del predetto decreto legge, ai sensi del quale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 xml:space="preserve">«Laddove non diversamente previsto nel PNRR, ai fini della contabilizzazione e rendicontazione delle spese, le amministrazioni ed i soggetti responsabili dell’attuazione possono utilizzare le «opzioni di costo semplificate» previste dagli articoli 52 e seguenti del regolamento (UE) 2021/1060 del Parlamento europeo e del Consiglio del 24 giugno 2021. Ove possibile la modalità semplificata di cui al </w:t>
            </w:r>
            <w:proofErr w:type="spellStart"/>
            <w:r>
              <w:rPr>
                <w:rFonts w:ascii="Verdana" w:eastAsia="Verdana" w:hAnsi="Verdana" w:cs="Verdana"/>
                <w:i/>
                <w:sz w:val="18"/>
                <w:szCs w:val="18"/>
              </w:rPr>
              <w:t>al</w:t>
            </w:r>
            <w:proofErr w:type="spellEnd"/>
            <w:r>
              <w:rPr>
                <w:rFonts w:ascii="Verdana" w:eastAsia="Verdana" w:hAnsi="Verdana" w:cs="Verdana"/>
                <w:i/>
                <w:sz w:val="18"/>
                <w:szCs w:val="18"/>
              </w:rPr>
              <w:t xml:space="preserve"> primo periodo è altresì estesa alla contabilizzazione e alla rendicontazione delle spese sostenute nell’ambito dei Piani di Sviluppo e Coesione di cui all’art. 44 del decreto-legge 30 aprile 2019, n. 34, convertito, con modificazioni, dalla legge 28 giugno 2019, n.58»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</w:tc>
      </w:tr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la legge 30 dicembre 2020, n.178, recante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“Bilancio di previsione dello Stato per l'anno finanziario 2021 e bilancio pluriennale per il triennio 2021-2023”;</w:t>
            </w:r>
          </w:p>
        </w:tc>
      </w:tr>
      <w:tr w:rsidR="00071D15">
        <w:trPr>
          <w:cantSplit/>
          <w:trHeight w:val="61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il decreto legge 6 maggio 2021, n.59, convertito,con modificazioni, dalla legge 1 luglio 2021, n.101, recante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“Misure urgenti relative al Fondo complementare al Piano nazionale di ripresa e resilienza e altre misure urgenti per gli investimenti”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</w:tc>
      </w:tr>
      <w:tr w:rsidR="00071D15">
        <w:trPr>
          <w:cantSplit/>
          <w:trHeight w:val="82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il decreto legge 31 maggio 2021, n.77, convertito, con modificazioni, dalla legge 29 luglio 2021, n.108,recante «</w:t>
            </w:r>
            <w:proofErr w:type="spellStart"/>
            <w:r>
              <w:rPr>
                <w:rFonts w:ascii="Verdana" w:eastAsia="Verdana" w:hAnsi="Verdana" w:cs="Verdana"/>
                <w:i/>
                <w:sz w:val="18"/>
                <w:szCs w:val="18"/>
              </w:rPr>
              <w:t>Governance</w:t>
            </w:r>
            <w:proofErr w:type="spellEnd"/>
            <w:r>
              <w:rPr>
                <w:rFonts w:ascii="Verdana" w:eastAsia="Verdana" w:hAnsi="Verdana" w:cs="Verdana"/>
                <w:i/>
                <w:sz w:val="18"/>
                <w:szCs w:val="18"/>
              </w:rPr>
              <w:t xml:space="preserve"> del Piano nazionale di ripresa e resilienza e prime misure di rafforzamento delle strutture amministrative e di accelerazione e snellimento delle procedure»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</w:tc>
      </w:tr>
      <w:tr w:rsidR="00071D15">
        <w:trPr>
          <w:cantSplit/>
          <w:trHeight w:val="82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il decreto legge 9 giugno 2021, n.80, convertito, con modificazioni, dalla legge 6 agosto 2021, n. 113, recante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«Misure urgenti per il rafforzamento della capacità amministrativa delle pubbliche amministrazioni funzionale all'attuazione del Piano nazionale di ripresa e resilienza (PNRR) e per l’efficienza della giustizia»;</w:t>
            </w:r>
          </w:p>
        </w:tc>
      </w:tr>
      <w:tr w:rsidR="00071D15">
        <w:trPr>
          <w:cantSplit/>
          <w:trHeight w:val="124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la Legge 29 dicembre 2021, n. 233. Conversione in legge, con modificazioni, del decreto-legge 6 novembre 2021, n. 152, recante disposizioni urgenti per l’attuazione del Piano nazionale di ripresa e resilienza (PNRR) e per la prevenzione delle infiltrazioni mafiose recante: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«Disposizioni urgenti per l’attuazione del Piano nazionale di ripresa e resilienza (PNRR) e per la prevenzione delle infiltrazioni mafiose.»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e, in particolare, l’articolo24-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bis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, relativo allo sviluppo delle competenze digitali;</w:t>
            </w:r>
          </w:p>
        </w:tc>
      </w:tr>
      <w:tr w:rsidR="00071D15">
        <w:trPr>
          <w:cantSplit/>
          <w:trHeight w:val="61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il decreto legge 30 aprile 2022, n.36, convertito, con modificazioni, dalla legge 29 giugno 2022, n. 79, recante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“Ulteriori misure urgenti per l’attuazione del Piano nazionale di ripresa e resilienza”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e, in particolare, l’articolo 47;</w:t>
            </w:r>
          </w:p>
        </w:tc>
      </w:tr>
      <w:tr w:rsidR="00071D15">
        <w:trPr>
          <w:cantSplit/>
          <w:trHeight w:val="82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il regolamento (UE) 2018/1046 del 18 luglio 2018, che stabilisce le regole finanziarie applicabili al bilancio generale dell’Unione, che modifica i regolamenti (UE) n. 1296/2013, n. 1301/2013, n.1303/2013, n.1304/2013, n.1309/2013, n.1316/2013, n.223/2014, n.283/2014 e la decisione n.541/2014/UE e abroga il regolamento (UE,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Euratom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) n.966/2012;</w:t>
            </w:r>
          </w:p>
        </w:tc>
      </w:tr>
      <w:tr w:rsidR="00071D15">
        <w:trPr>
          <w:cantSplit/>
          <w:trHeight w:val="103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il regolamento UE 2020/852 e, in particolare, l’articolo 17 che definisce gli obiettivi ambientali, tra cui il principio di non arrecare un danno significativo (DNSH, “Do no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significantharm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”), e la Comunicazione della Commissione UE2021/C58/01, recante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“Orientamenti tecnici sull’applicazione del principio «non arrecare un danno significativo» a norma del regolamento sul dispositivo per la ripresa e la resilienza”;</w:t>
            </w:r>
          </w:p>
        </w:tc>
      </w:tr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lastRenderedPageBreak/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il regolamento (UE) 12 febbraio 2021, n.2021/241, che istituisce il dispositivo per la ripresa e la resilienza;</w:t>
            </w:r>
          </w:p>
        </w:tc>
      </w:tr>
      <w:tr w:rsidR="00071D15">
        <w:trPr>
          <w:cantSplit/>
          <w:trHeight w:val="21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il regolamento (UE) 2021/1060 del Parlamento europeo e del Consiglio del 24 giugno 2021;</w:t>
            </w:r>
          </w:p>
        </w:tc>
      </w:tr>
      <w:tr w:rsidR="00071D15">
        <w:trPr>
          <w:cantSplit/>
          <w:trHeight w:val="82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il regolamento delegato (UE) 2021/2105 della Commissione del 28 settembre 2021, che integra il regolamento (UE) 2021/241 del Parlamento europeo e del Consiglio,che istituisce il dispositivo per la ripresa e la resilienza, definendo una metodologia per la rendicontazione della spesa sociale;</w:t>
            </w:r>
          </w:p>
        </w:tc>
      </w:tr>
      <w:tr w:rsidR="00071D15">
        <w:trPr>
          <w:cantSplit/>
          <w:trHeight w:val="82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il regolamento delegato (UE) 2021/2106 della Commissione del 28 settembre 2021 che integra il regolamento (UE) 2021/241 del Parlamento europeo e del Consiglio, che istituisce il dispositivo per la ripresa e la resilienza, stabilendo gli indicatori comuni e gli elementi dettagliati del quadro di valutazione della ripresa e della resilienza;</w:t>
            </w:r>
          </w:p>
        </w:tc>
      </w:tr>
      <w:tr w:rsidR="00071D15">
        <w:trPr>
          <w:cantSplit/>
          <w:trHeight w:val="124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il Piano nazionale di ripresa e resilienza (PNRR), la cui valutazione positiva è stata approvata con Decisione del Consiglio ECOFIN del 13 luglio 2021 e notificata all’Italia dal Segretariato generale del Consiglio con nota LT161/21, del 14 luglio 2021 e, in particolare, la Missione 4 – Istruzione e Ricerca – Componente 1 – Potenziamento dell’offerta dei servizi di istruzione: dagli asili nido alle Università – Investimento 1.3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“Piano per le infrastrutture per lo sport nelle scuole”;</w:t>
            </w:r>
          </w:p>
        </w:tc>
      </w:tr>
      <w:tr w:rsidR="00071D15">
        <w:trPr>
          <w:cantSplit/>
          <w:trHeight w:val="61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VISTI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 principi trasversali previsti dal PNRR, quali, tra l’altro, il principio del contributo all’obiettivo climatico e digitale (c.d.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tagging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), il principio di parità di genere e l’obbligo di protezione e valorizzazione dei giovani;</w:t>
            </w:r>
          </w:p>
        </w:tc>
      </w:tr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VISTI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gli obblighi di assicurare il conseguimento di target e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milestone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e degli obiettivi finanziari stabiliti nel PNRR;</w:t>
            </w:r>
          </w:p>
        </w:tc>
      </w:tr>
      <w:tr w:rsidR="00071D15">
        <w:trPr>
          <w:cantSplit/>
          <w:trHeight w:val="61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la comunicazione della Commissione al Parlamento europeo, al Consiglio, al Comitato economico e sociale europeo e al Comitato delle Regioni,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“Piano d’azione per l’integrazione e l’inclusione 2021-2027 ”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(COM (2020) 758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final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, del 24 novembre 2020);</w:t>
            </w:r>
          </w:p>
        </w:tc>
      </w:tr>
      <w:tr w:rsidR="00071D15">
        <w:trPr>
          <w:cantSplit/>
          <w:trHeight w:val="82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la comunicazione della Commissione al Parlamento europeo, al Consiglio, al Comitato economico e sociale europeo e al Comitato delle Regioni,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“Un’ Unione dell’uguaglianza: strategia per i diritti delle persone con disabilità 2021-2030” (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COM (2021) 101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final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, del 3 marzo 2021);</w:t>
            </w:r>
          </w:p>
        </w:tc>
      </w:tr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la delibera del CIPE n. 63 del 26 novembre 2020 che introduce la normativa attuativa della riforma del CUP;</w:t>
            </w:r>
          </w:p>
        </w:tc>
      </w:tr>
      <w:tr w:rsidR="00071D15">
        <w:trPr>
          <w:cantSplit/>
          <w:trHeight w:val="491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before="240" w:after="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VISTE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le Conclusioni del Consiglio dell’Unione europea (2020/C 415/10) sull’istruzione digitale nelle società della conoscenza europee;</w:t>
            </w:r>
          </w:p>
        </w:tc>
      </w:tr>
      <w:tr w:rsidR="00071D15">
        <w:trPr>
          <w:cantSplit/>
          <w:trHeight w:val="103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la Raccomandazione del Consiglio dell’Unione europea sul programma nazionale di riforma 2020 dell’Italia che formula un parere del Consiglio sul programma distabilità2020 dell’Italia (COM (2020) 512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final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, che richiede, tra l’altro, di investire nell’apprendimento a distanza, nonché nell’infrastruttura e nelle competenze digitali di educatori e discenti, anche rafforzando i percorsi didattici relativi alle discipline STEM;</w:t>
            </w:r>
          </w:p>
        </w:tc>
      </w:tr>
      <w:tr w:rsidR="00071D15">
        <w:trPr>
          <w:cantSplit/>
          <w:trHeight w:val="82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lastRenderedPageBreak/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il Piano d’azione per l’istruzione digitale 2021-2027 «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Ripensare l’istruzione e la formazione per l’era digitale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» di cui alla Comunicazione COM (2020) 624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final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, del 30 settembre 2020 della Commissione al Parlamento europeo, al Consiglio, al Comitato Economico e sociale europeo e al Comitato delle regioni;</w:t>
            </w:r>
          </w:p>
        </w:tc>
      </w:tr>
      <w:tr w:rsidR="00071D15">
        <w:trPr>
          <w:cantSplit/>
          <w:trHeight w:val="61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il decreto del Ministro dell’economia e delle finanze 6 agosto 2021 e successive modificazioni ed integrazioni, con il quale sono state assegnate le risorse in favore di ciascuna Amministrazione titolare degli interventi PNRR e corrispondenti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milestone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e target;</w:t>
            </w:r>
          </w:p>
        </w:tc>
      </w:tr>
      <w:tr w:rsidR="00071D15">
        <w:trPr>
          <w:cantSplit/>
          <w:trHeight w:val="103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il Decreto del Presidente del Consiglio dei ministri del 15 settembre 2021, che definisce le modalità, le tempistiche e gli strumenti per la rilevazione dei dati di attuazione finanziaria, fisica e procedurale relativa a ciascun progetto finanziato nell’ambito del PNRR, nonché dei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milestone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e target degli investimenti e delle riforme e di tutti gli ulteriori elementi informativi previsti nel Piano necessari per la rendiconta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zione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alla Commissione europea;</w:t>
            </w:r>
          </w:p>
        </w:tc>
      </w:tr>
      <w:tr w:rsidR="00071D15">
        <w:trPr>
          <w:cantSplit/>
          <w:trHeight w:val="82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il decreto del Ministro dell’istruzione, di concerto con il Ministro dell’economia e delle finanze, 21 settembre 2021, n. 284, di istituzione di una Unità di missione di livello dirigenziale generale per l’attuazione degli interventi del Piano nazionale di ripresa e resilienza a titolarità del Ministero dell’istruzione;</w:t>
            </w:r>
          </w:p>
        </w:tc>
      </w:tr>
      <w:tr w:rsidR="00071D15">
        <w:trPr>
          <w:cantSplit/>
          <w:trHeight w:val="61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il Decreto del Ministro dell’Economia e delle Finanze dell’11 ottobre 2021, recante «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Procedure relative alla gestione finanziaria delle risorse previste nell'ambito del PNRR di cui all'articolo 1, comma 1042, della legge 30 dicembre 2020, n.178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»;</w:t>
            </w:r>
          </w:p>
        </w:tc>
      </w:tr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il decreto del Ministro per le disabilità 9 febbraio 2022, recante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“Direttiva alle amministrazioni titolari di progetti, riforme e misure in materia di disabilità”;</w:t>
            </w:r>
          </w:p>
        </w:tc>
      </w:tr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il decreto del Ministro dell’istruzione 14 giugno 2022, n. 161, con il quale è stato adottato lo strumento di programmazione, denominato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“Piano Scuola 4.0”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</w:tc>
      </w:tr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il decreto del Ministro dell’istruzione 8 agosto 2022, n. 218, con il quale sono state ripartite le risorse tra le istituzioni scolastiche in attuazione del Piano“Scuola 4.0”;</w:t>
            </w:r>
          </w:p>
        </w:tc>
      </w:tr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la Circolare del 14 ottobre 2021, n.21 del Ragioniere Generale dello Stato, recante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“Trasmissione delle Istruzioni tecniche per la selezione dei progetti PNRR”;</w:t>
            </w:r>
          </w:p>
        </w:tc>
      </w:tr>
      <w:tr w:rsidR="00071D15">
        <w:trPr>
          <w:cantSplit/>
          <w:trHeight w:val="145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VISTE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le Linee guida per le Amministrazioni centrali titolari di interventi PNRR, approvate con la circolare del 29 ottobre 2021, n. 25, recante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“Rilevazione periodica avvisi, bandi e altre procedure di attivazione degli investimenti”,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che riportano le modalità per assicurare la correttezza delle procedure di attuazione e rendicontazione, la regolarità della spesa e il conseguimento di target e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milestone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e di ogni altro adempimento previsto dalla normativa europea e nazionale applicabile al PNRR, a norma dell’articolo 8, comma 3, del decreto legge 31 maggio 2021, n.77, convertito, con modificazioni, dalla legge 29 luglio 2021,n.108;</w:t>
            </w:r>
          </w:p>
        </w:tc>
      </w:tr>
      <w:tr w:rsidR="00071D15">
        <w:trPr>
          <w:cantSplit/>
          <w:trHeight w:val="21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VISTI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 quadri di riferimento europei per le competenze digitali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DigComp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2.2 e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DigComp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Edu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</w:tc>
      </w:tr>
      <w:tr w:rsidR="00071D15">
        <w:trPr>
          <w:cantSplit/>
          <w:trHeight w:val="82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lastRenderedPageBreak/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la circolare del 30 dicembre 2021, n. 32, del Ministero dell’economia e delle finanze – Dipartimento della Ragioneria generale dello Stato, avente ad oggetto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“Piano Nazionale di Ripresa e Resilienza. Guida operativa per il rispetto del principio di non arrecare danno significativo all’ambiente (DNSH)”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</w:tc>
      </w:tr>
      <w:tr w:rsidR="00071D15">
        <w:trPr>
          <w:cantSplit/>
          <w:trHeight w:val="61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la circolare del 18 gennaio 2022, n. 4 del Ragioniere Generale dello Stato, recante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“Piano nazionale di ripresa (PNRR) – articolo 1, comma 1, del decreto-legge n. 80 del 2021 – Indicazioni attuative”;</w:t>
            </w:r>
          </w:p>
        </w:tc>
      </w:tr>
      <w:tr w:rsidR="00071D15">
        <w:trPr>
          <w:cantSplit/>
          <w:trHeight w:val="61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la circolare del 24 gennaio 2022, n. 6 del Ministero dell’economia e delle finanze, recante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“Piano Nazionale di Ripresa e Resilienza (PNRR) – Servizi di assistenza tecnica per le Amministrazioni titolari di interventi e soggetti attuatori del PNRR”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</w:tc>
      </w:tr>
      <w:tr w:rsidR="00071D15">
        <w:trPr>
          <w:cantSplit/>
          <w:trHeight w:val="61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la circolare del 10 febbraio 2022, n. 9, recante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“Piano nazionale di ripresa e resilienza (PNRR)- Trasmissione delle Istruzioni tecniche per la redazione dei sistemi di gestione e controllo delle amministrazioni centrali titolari di interventi del PNRR”;</w:t>
            </w:r>
          </w:p>
        </w:tc>
      </w:tr>
      <w:tr w:rsidR="00071D15">
        <w:trPr>
          <w:cantSplit/>
          <w:trHeight w:val="103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la circolare del 29 aprile 2022, n.21 del Ragioniere Generale dello Stato,recante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“Piano nazionale di ripresa e resilienza (PNRR) e Piano nazionale per gli investimenti complementare – Chiarimenti in relazione al riferimento alla disciplina nazionale in materia di contratti pubblici richiamata nei dispositivi attuativi relativi agli interventi PNRR e PNC”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</w:tc>
      </w:tr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la circolare del 21 giugno 2022, n. 27, del Ragioniere Generale dello Stato, recante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“Piano nazionale di ripresa e resilienza (PNRR) – Monitoraggio delle misure PNRR”;</w:t>
            </w:r>
          </w:p>
        </w:tc>
      </w:tr>
      <w:tr w:rsidR="00071D15">
        <w:trPr>
          <w:cantSplit/>
          <w:trHeight w:val="61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la circolare 11 agosto 2022, n.30, del Ragioniere Generale dello Stato, recante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“Linee Guida per lo svolgimento delle attività di controllo e rendicontazione delle Misure PNRR di competenza delle Amministrazioni centrali e dei Soggetti Attuatori”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</w:tc>
      </w:tr>
      <w:tr w:rsidR="00071D15">
        <w:trPr>
          <w:cantSplit/>
          <w:trHeight w:val="61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la circolare del 13 ottobre 2022, n.33, del Ragioniere Generale dello Stato, recante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“Aggiornamento Guida operativa per il rispetto del principio di non arrecare danno significativo all’ambiente (</w:t>
            </w:r>
            <w:proofErr w:type="spellStart"/>
            <w:r>
              <w:rPr>
                <w:rFonts w:ascii="Verdana" w:eastAsia="Verdana" w:hAnsi="Verdana" w:cs="Verdana"/>
                <w:i/>
                <w:sz w:val="18"/>
                <w:szCs w:val="18"/>
              </w:rPr>
              <w:t>c.d.DNSH</w:t>
            </w:r>
            <w:proofErr w:type="spellEnd"/>
            <w:r>
              <w:rPr>
                <w:rFonts w:ascii="Verdana" w:eastAsia="Verdana" w:hAnsi="Verdana" w:cs="Verdana"/>
                <w:i/>
                <w:sz w:val="18"/>
                <w:szCs w:val="18"/>
              </w:rPr>
              <w:t>)”;</w:t>
            </w:r>
          </w:p>
        </w:tc>
      </w:tr>
      <w:tr w:rsidR="00071D15">
        <w:trPr>
          <w:cantSplit/>
          <w:trHeight w:val="61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la circolare del 17 ottobre 2022, n.34, del Ragioniere Generale dello Stato, recante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“Linee guida metodologiche per la rendicontazione degli indicatori comuni per il Piano nazionale di ripresa e resilienza”;</w:t>
            </w:r>
          </w:p>
        </w:tc>
      </w:tr>
      <w:tr w:rsidR="00071D15">
        <w:trPr>
          <w:cantSplit/>
          <w:trHeight w:val="145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la circolare del 14 aprile 2023, n. 16, del Ministero dell’economia e delle finanze – Dipartimento della Ragioneria generale dello Stato, recante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 xml:space="preserve">“Integrazione delle Linee Guida per lo svolgimento delle attività di controllo e rendicontazione delle Misure PNRR di competenza delle Amministrazioni centrali e dei Soggetti Attuatori - Rilascio in esercizio sul sistema informativo </w:t>
            </w:r>
            <w:proofErr w:type="spellStart"/>
            <w:r>
              <w:rPr>
                <w:rFonts w:ascii="Verdana" w:eastAsia="Verdana" w:hAnsi="Verdana" w:cs="Verdana"/>
                <w:i/>
                <w:sz w:val="18"/>
                <w:szCs w:val="18"/>
              </w:rPr>
              <w:t>ReGiS</w:t>
            </w:r>
            <w:proofErr w:type="spellEnd"/>
            <w:r>
              <w:rPr>
                <w:rFonts w:ascii="Verdana" w:eastAsia="Verdana" w:hAnsi="Verdana" w:cs="Verdana"/>
                <w:i/>
                <w:sz w:val="18"/>
                <w:szCs w:val="18"/>
              </w:rPr>
              <w:t xml:space="preserve"> delle Attestazioni dei controlli svolti su procedure e spese e del collegamento alla banca dati ORBIS nonché alle piattaforme antifrode ARACHNE e PIAF-IT”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</w:tc>
      </w:tr>
      <w:tr w:rsidR="00071D15">
        <w:trPr>
          <w:cantSplit/>
          <w:trHeight w:val="82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la circolare del 27 aprile 2023, n. 19, del Ministero dell’economia e delle finanze – Dipartimento della Ragioneria generale dello Stato, recante “Utilizzo del sistema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ReGiS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per gli adempimenti PNRR e modalità di attivazione delle anticipazioni di cassa a valere sulle contabilità di tesoreria NGEU”;</w:t>
            </w:r>
          </w:p>
        </w:tc>
      </w:tr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lastRenderedPageBreak/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la legge 29 dicembre 2022, n. 197, recante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«Bilancio di previsione dello Stato per l’anno finanziario 2023 e bilancio pluriennale per il triennio2023-2025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</w:tc>
      </w:tr>
      <w:tr w:rsidR="00071D15">
        <w:trPr>
          <w:cantSplit/>
          <w:trHeight w:val="82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il decreto legge 24 febbraio 2023, n.13, recante «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Disposizioni urgenti per l'attuazione del Piano nazionale di ripresa e resilienza (PNRR) e del Piano nazionale degli investimenti complementari al PNRR(PNC), nonché per l'attuazione delle politiche di coesione e della politica agricola comune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»;</w:t>
            </w:r>
          </w:p>
        </w:tc>
      </w:tr>
      <w:tr w:rsidR="00071D15">
        <w:trPr>
          <w:cantSplit/>
          <w:trHeight w:val="61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VISTI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il Contratto Collettivo Nazionale (CCNL) del Comparto Scuola del 29 novembre 2007 e il Contratto Collettivo Nazionale (CCNL) dell’Area Istruzione e Ricerca 2016-2018 del 19 aprile 2018;</w:t>
            </w:r>
          </w:p>
        </w:tc>
      </w:tr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il Contratto Collettivo Nazionale (CCNL) relativo ai principali aspetti del trattamento economico del personale del comparto Istruzione e Ricerca 2019-2021 del 6 dicembre 2022;</w:t>
            </w:r>
          </w:p>
        </w:tc>
      </w:tr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il Contratto Collettivo Nazionale di Lavoro (CCNL) del personale del comparto Istruzione e ricerca 2019-2021 del 18 gennaio 2024;</w:t>
            </w:r>
          </w:p>
        </w:tc>
      </w:tr>
      <w:tr w:rsidR="00071D15">
        <w:trPr>
          <w:cantSplit/>
          <w:trHeight w:val="145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0" w:line="276" w:lineRule="auto"/>
              <w:ind w:left="0" w:right="72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il D.M. 65/2023 – Allegato 1 di riparto delle risorse alle istituzioni scolastiche in</w:t>
            </w:r>
          </w:p>
          <w:p w:rsidR="00071D15" w:rsidRDefault="002D5A91" w:rsidP="00AE2085">
            <w:pPr>
              <w:spacing w:after="0" w:line="276" w:lineRule="auto"/>
              <w:ind w:left="0" w:right="72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attuazione della linea di investimento 3.1 “Nuove competenze e nuovi linguaggi”</w:t>
            </w:r>
          </w:p>
          <w:p w:rsidR="00071D15" w:rsidRDefault="002D5A91" w:rsidP="00AE2085">
            <w:pPr>
              <w:spacing w:after="0" w:line="276" w:lineRule="auto"/>
              <w:ind w:left="0" w:right="72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nell’ambito della Missione 4 – Istruzione e Ricerca – Componente 1 </w:t>
            </w:r>
          </w:p>
          <w:p w:rsidR="00071D15" w:rsidRDefault="002D5A91" w:rsidP="00AE2085">
            <w:pPr>
              <w:spacing w:after="0" w:line="276" w:lineRule="auto"/>
              <w:ind w:left="0" w:right="72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“Potenziamento dell’offerta dei servizi all’istruzione: dagli asili nido all’Università”</w:t>
            </w:r>
          </w:p>
          <w:p w:rsidR="00071D15" w:rsidRDefault="002D5A91" w:rsidP="00AE2085">
            <w:pPr>
              <w:spacing w:after="0" w:line="276" w:lineRule="auto"/>
              <w:ind w:left="0" w:right="72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del Piano nazionale di ripresa e resilienza finanziato dall’Unione Europea -</w:t>
            </w:r>
          </w:p>
          <w:p w:rsidR="00071D15" w:rsidRDefault="002D5A91" w:rsidP="00AE2085">
            <w:pPr>
              <w:spacing w:after="0" w:line="276" w:lineRule="auto"/>
              <w:ind w:left="0" w:right="72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NextGeneration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EU del 18/05/2023 che assegna a questa Istituzione Scolastica</w:t>
            </w:r>
          </w:p>
          <w:p w:rsidR="00071D15" w:rsidRDefault="002D5A91" w:rsidP="00AE2085">
            <w:pPr>
              <w:spacing w:after="0" w:line="276" w:lineRule="auto"/>
              <w:ind w:left="0" w:right="72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un importo pari ad € 66.100,87 di cui: </w:t>
            </w:r>
          </w:p>
          <w:p w:rsidR="00071D15" w:rsidRDefault="002D5A91" w:rsidP="00AE2085">
            <w:pPr>
              <w:numPr>
                <w:ilvl w:val="0"/>
                <w:numId w:val="3"/>
              </w:numPr>
              <w:spacing w:after="0" w:line="276" w:lineRule="auto"/>
              <w:ind w:left="0" w:right="72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€ 50.267,78 quale “Quota A Percorsi formativi STEM, digitali, lingue per studenti”;</w:t>
            </w:r>
          </w:p>
          <w:p w:rsidR="00071D15" w:rsidRDefault="002D5A91" w:rsidP="00AE2085">
            <w:pPr>
              <w:numPr>
                <w:ilvl w:val="0"/>
                <w:numId w:val="5"/>
              </w:numPr>
              <w:spacing w:after="0" w:line="276" w:lineRule="auto"/>
              <w:ind w:left="0" w:right="72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€ 15.833,09 quale “Quota B Percorsi annuali di lingua e metodologia per docenti”;</w:t>
            </w:r>
          </w:p>
        </w:tc>
      </w:tr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VISTE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0" w:line="276" w:lineRule="auto"/>
              <w:ind w:left="0" w:right="72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le istruzioni operative dell’Unità di missione per il PNRR del Ministero dell’Istruzione e del Merito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prot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. n. 0132935 del 15/11/2023;</w:t>
            </w:r>
          </w:p>
        </w:tc>
      </w:tr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72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72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la delibera del Collegio Docenti n. 23 del 13/12/2023 relativa alla partecipazione all’Avviso Pubblico;</w:t>
            </w:r>
          </w:p>
        </w:tc>
      </w:tr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72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72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la delibera del Consiglio di Istituto di partecipazione all’avviso pubblico, n. 403 del 04/12/2023, verbale n. 74;</w:t>
            </w:r>
          </w:p>
        </w:tc>
      </w:tr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72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41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il progetto presentato da questa Istituzione Scolastica dal titolo “Competenze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stem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multilinguistiche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” con candidatura n. M4C1I3.1-2023-1143-P-31254 in data 12/01/2024 assunto agli atti con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prot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. n. 0000522/V.5 del 12/01/2024;</w:t>
            </w:r>
          </w:p>
        </w:tc>
      </w:tr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41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l'accordo di concessione, firmato dal MIM- Registro Ufficiale U.0009924.22-01-2024,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prot.n.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1542 del 27/01/2024, che rappresenta lo strumento di regolazione della procedura di attuazione e di finanziamento;</w:t>
            </w:r>
          </w:p>
        </w:tc>
      </w:tr>
      <w:tr w:rsidR="00071D15">
        <w:trPr>
          <w:cantSplit/>
          <w:trHeight w:val="45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72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41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che questa Istituzione Scolastica è stata autorizzata ad attuare le attività previste nel progetto per un importo pari ad € 66.100,87;</w:t>
            </w:r>
          </w:p>
        </w:tc>
      </w:tr>
      <w:tr w:rsidR="00071D15">
        <w:trPr>
          <w:cantSplit/>
          <w:trHeight w:val="22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72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41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il Codice CUP n. F94D23002190006 acquisito;</w:t>
            </w:r>
          </w:p>
        </w:tc>
      </w:tr>
      <w:tr w:rsidR="00071D15">
        <w:trPr>
          <w:cantSplit/>
          <w:trHeight w:val="42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0" w:line="276" w:lineRule="auto"/>
              <w:ind w:left="0" w:right="72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0" w:line="276" w:lineRule="auto"/>
              <w:ind w:left="0" w:right="-41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il proprio decreto di assunzione a bilancio del finanziamento assegnato, assunto</w:t>
            </w:r>
          </w:p>
          <w:p w:rsidR="00071D15" w:rsidRDefault="002D5A91" w:rsidP="00AE2085">
            <w:pPr>
              <w:spacing w:after="0" w:line="276" w:lineRule="auto"/>
              <w:ind w:left="0" w:right="-41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agli atti con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prot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. n. 0001883/VI1 del 01/02/2024;</w:t>
            </w:r>
          </w:p>
        </w:tc>
      </w:tr>
      <w:tr w:rsidR="00071D15">
        <w:trPr>
          <w:cantSplit/>
          <w:trHeight w:val="21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0" w:line="276" w:lineRule="auto"/>
              <w:ind w:left="0" w:right="72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lastRenderedPageBreak/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0" w:line="276" w:lineRule="auto"/>
              <w:ind w:left="0" w:right="-41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la nomina del Responsabile Unico del Progetto (RUP) ai sensi dell’art. 15 del</w:t>
            </w:r>
          </w:p>
          <w:p w:rsidR="00071D15" w:rsidRDefault="002D5A91" w:rsidP="00AE2085">
            <w:pPr>
              <w:spacing w:after="0" w:line="276" w:lineRule="auto"/>
              <w:ind w:left="0" w:right="-41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D.Lgs.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36/2023 e dell’art.5 della Legge 241/1990, assunta agli atti con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prot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. n.</w:t>
            </w:r>
          </w:p>
          <w:p w:rsidR="00071D15" w:rsidRDefault="002D5A91" w:rsidP="00AE2085">
            <w:pPr>
              <w:spacing w:line="276" w:lineRule="auto"/>
              <w:ind w:left="0" w:right="-41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0001886/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VII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.3 del 01/02/2024;</w:t>
            </w:r>
          </w:p>
        </w:tc>
      </w:tr>
      <w:tr w:rsidR="00071D15">
        <w:trPr>
          <w:cantSplit/>
          <w:trHeight w:val="21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0" w:line="276" w:lineRule="auto"/>
              <w:ind w:left="0" w:right="72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0" w:line="276" w:lineRule="auto"/>
              <w:ind w:left="0" w:right="-41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la dichiarazione di assenza di cause di incompatibilità,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inconferibilità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, conflitto di</w:t>
            </w:r>
          </w:p>
          <w:p w:rsidR="00071D15" w:rsidRDefault="002D5A91" w:rsidP="00AE2085">
            <w:pPr>
              <w:spacing w:after="0" w:line="276" w:lineRule="auto"/>
              <w:ind w:left="0" w:right="-41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interessi ed obblighi di astensione del Responsabile Unico del Progetto (RUP),</w:t>
            </w:r>
          </w:p>
          <w:p w:rsidR="00071D15" w:rsidRDefault="002D5A91" w:rsidP="00AE2085">
            <w:pPr>
              <w:spacing w:after="0" w:line="276" w:lineRule="auto"/>
              <w:ind w:left="0" w:right="-41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assunta agli atti con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prot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. n. 0001887/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VII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.3 del 01/02/2024;</w:t>
            </w:r>
          </w:p>
        </w:tc>
      </w:tr>
      <w:tr w:rsidR="00071D15">
        <w:trPr>
          <w:cantSplit/>
          <w:trHeight w:val="21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0" w:line="276" w:lineRule="auto"/>
              <w:ind w:left="0" w:right="72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0" w:line="276" w:lineRule="auto"/>
              <w:ind w:left="0" w:right="-41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il decreto dirigenziale relativo all’ azione di disseminazione, comunicazione,</w:t>
            </w:r>
          </w:p>
          <w:p w:rsidR="00071D15" w:rsidRDefault="002D5A91" w:rsidP="00AE2085">
            <w:pPr>
              <w:spacing w:after="0" w:line="276" w:lineRule="auto"/>
              <w:ind w:left="0" w:right="-41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sensibilizzazione e pubblicizzazione del progetto,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prot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. n. 0001889/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VI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.5 del</w:t>
            </w:r>
          </w:p>
          <w:p w:rsidR="00071D15" w:rsidRDefault="002D5A91" w:rsidP="00AE2085">
            <w:pPr>
              <w:spacing w:line="276" w:lineRule="auto"/>
              <w:ind w:left="0" w:right="-41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01/02/2024;</w:t>
            </w:r>
          </w:p>
        </w:tc>
      </w:tr>
      <w:tr w:rsidR="00071D15">
        <w:trPr>
          <w:cantSplit/>
          <w:trHeight w:val="21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0" w:line="276" w:lineRule="auto"/>
              <w:ind w:left="0" w:right="72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0" w:line="276" w:lineRule="auto"/>
              <w:ind w:left="0" w:right="-41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il proprio decreto di avvio delle attività, assunto agli atti con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prot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. n. 0002215 </w:t>
            </w:r>
          </w:p>
          <w:p w:rsidR="00071D15" w:rsidRDefault="002D5A91" w:rsidP="00AE2085">
            <w:pPr>
              <w:spacing w:line="276" w:lineRule="auto"/>
              <w:ind w:left="0" w:right="-41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IV. 5 del 06/02/2024;</w:t>
            </w:r>
          </w:p>
        </w:tc>
      </w:tr>
      <w:tr w:rsidR="00071D15">
        <w:trPr>
          <w:cantSplit/>
          <w:trHeight w:val="21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0" w:line="276" w:lineRule="auto"/>
              <w:ind w:left="0" w:right="72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VISTI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0" w:line="276" w:lineRule="auto"/>
              <w:ind w:left="0" w:right="-41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 percorsi che questa Istituzione Scolastica intende attivare in riferimento alla</w:t>
            </w:r>
          </w:p>
          <w:p w:rsidR="00071D15" w:rsidRDefault="002D5A91" w:rsidP="00AE2085">
            <w:pPr>
              <w:spacing w:after="0" w:line="276" w:lineRule="auto"/>
              <w:ind w:left="0" w:right="-41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linea di intervento A “Realizzazione di percorsi didattici, formative di  </w:t>
            </w:r>
          </w:p>
          <w:p w:rsidR="00071D15" w:rsidRDefault="002D5A91" w:rsidP="00AE2085">
            <w:pPr>
              <w:spacing w:line="276" w:lineRule="auto"/>
              <w:ind w:left="0" w:right="-41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orientamento per studentesse e studenti”;</w:t>
            </w:r>
          </w:p>
        </w:tc>
      </w:tr>
      <w:tr w:rsidR="00071D15">
        <w:trPr>
          <w:cantSplit/>
          <w:trHeight w:val="750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2D5A91">
            <w:pPr>
              <w:spacing w:after="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CONSIDERATO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che, nel rispetto di quanto previsto dalla normativa, il Dirigente è tenuto ad avviare una selezione interna per verificare l’esistenza delle professionalità necessarie per lo svolgimento delle attività previste;</w:t>
            </w:r>
          </w:p>
        </w:tc>
      </w:tr>
      <w:tr w:rsidR="00071D15">
        <w:trPr>
          <w:cantSplit/>
          <w:trHeight w:val="1491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2D5A91">
            <w:pPr>
              <w:spacing w:after="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CONSIDERATO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che possono essere affidate all’esterno prestazioni e attività che non possono essere assegnate al personale dipendente dell’Istituzione Scolastica per inesistenza di specifiche competenze professionali, ovvero che non possono essere espletate dal personale dipendente dell’Istituzione Scolastica per indisponibilità o coincidenza di altri impegni di lavoro, ovvero in tutti gli altri casi in cui il ricorso a figure esterne si renda necessario per ragioni contingenti;</w:t>
            </w:r>
          </w:p>
        </w:tc>
      </w:tr>
      <w:tr w:rsidR="00071D15">
        <w:trPr>
          <w:cantSplit/>
          <w:trHeight w:val="1491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2D5A91">
            <w:pPr>
              <w:spacing w:after="0" w:line="246" w:lineRule="auto"/>
              <w:ind w:left="0" w:right="72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PRESO ATTO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0" w:line="276" w:lineRule="auto"/>
              <w:ind w:left="0" w:right="72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della necessità di individuare docenti Esperti e Tutor per la realizzazione dei</w:t>
            </w:r>
          </w:p>
          <w:p w:rsidR="00071D15" w:rsidRDefault="002D5A91" w:rsidP="00AE2085">
            <w:pPr>
              <w:spacing w:after="0" w:line="276" w:lineRule="auto"/>
              <w:ind w:left="0" w:right="72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percorsi formativi nell’ambito dell’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Intervento 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: </w:t>
            </w:r>
          </w:p>
          <w:p w:rsidR="00071D15" w:rsidRDefault="002D5A91" w:rsidP="00AE2085">
            <w:pPr>
              <w:numPr>
                <w:ilvl w:val="0"/>
                <w:numId w:val="1"/>
              </w:numPr>
              <w:spacing w:after="0" w:line="276" w:lineRule="auto"/>
              <w:ind w:left="0" w:right="72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Percorsi di orientamento e formazione per il potenziamento delle STEM, digitali e innovazione, finalizzate alla promozione di pari opportunità di genere;</w:t>
            </w:r>
          </w:p>
          <w:p w:rsidR="00071D15" w:rsidRDefault="002D5A91" w:rsidP="00AE2085">
            <w:pPr>
              <w:numPr>
                <w:ilvl w:val="0"/>
                <w:numId w:val="2"/>
              </w:numPr>
              <w:spacing w:line="276" w:lineRule="auto"/>
              <w:ind w:left="0" w:right="72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Percorsi di formazione per il potenziamento delle competenze linguistiche degli studenti.</w:t>
            </w:r>
          </w:p>
        </w:tc>
      </w:tr>
      <w:tr w:rsidR="00071D15">
        <w:trPr>
          <w:cantSplit/>
          <w:trHeight w:val="52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200"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la propria determina dirigenziale di avvio della procedura relativa alla selezione di n.18276 del 21/10/2024;</w:t>
            </w:r>
          </w:p>
        </w:tc>
      </w:tr>
      <w:tr w:rsidR="00071D15">
        <w:trPr>
          <w:cantSplit/>
          <w:trHeight w:val="52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>
            <w:pPr>
              <w:spacing w:after="24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l’AVVISO UNICO per la SELEZIONE di PERSONALE INTERNO/ESTERNO per il ruolo di docenti ESPERTI e TUTOR nei percorsi afferenti al progetto “competenze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stem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multilinguistiche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” finanziato nell’ambito del decreto del Ministro dell’istruzione e del merito 12 aprile 2023, n. 65, Missione 4 – Istruzione e Ricerca – Componente 1 – Potenziamento dell’offerta dei servizi di istruzione: dagli asili nido alle Università – Investimento 3.1: Nuove competenze e nuovi linguaggi - Azioni di potenziamento delle competenze STEM e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multilinguistiche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(D.M. 65/2023) agli atti del protocollo n.18277 del 21/10/2024;</w:t>
            </w:r>
          </w:p>
        </w:tc>
      </w:tr>
      <w:tr w:rsidR="00071D15">
        <w:trPr>
          <w:cantSplit/>
          <w:trHeight w:val="52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2D5A91">
            <w:pPr>
              <w:spacing w:after="0" w:line="276" w:lineRule="auto"/>
              <w:ind w:left="0"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PRESO ATTO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15" w:rsidRDefault="002D5A91" w:rsidP="00AE2085">
            <w:pPr>
              <w:spacing w:after="0"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che essendo pervenute candidature in risposta all’avviso di cui al precedente capoverso si rende necessario procedere alla nomina e convocazione della relativa commissione di valutazione;</w:t>
            </w:r>
          </w:p>
          <w:p w:rsidR="002D5A91" w:rsidRDefault="002D5A91" w:rsidP="00AE2085">
            <w:pPr>
              <w:spacing w:after="0" w:line="276" w:lineRule="auto"/>
              <w:ind w:left="0" w:right="-20"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2D5A91">
        <w:trPr>
          <w:cantSplit/>
          <w:trHeight w:val="52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5A91" w:rsidRPr="00AE2085" w:rsidRDefault="002D5A91" w:rsidP="00AE20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D55D08">
              <w:rPr>
                <w:rFonts w:ascii="Verdana" w:eastAsia="Verdana" w:hAnsi="Verdana" w:cs="Verdana"/>
                <w:b/>
                <w:sz w:val="18"/>
                <w:szCs w:val="18"/>
              </w:rPr>
              <w:lastRenderedPageBreak/>
              <w:t>VISTA</w:t>
            </w:r>
            <w:r w:rsidRPr="00D55D08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5A91" w:rsidRDefault="002D5A91" w:rsidP="002D5A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D55D08">
              <w:rPr>
                <w:rFonts w:ascii="Verdana" w:eastAsia="Verdana" w:hAnsi="Verdana" w:cs="Verdana"/>
                <w:sz w:val="18"/>
                <w:szCs w:val="18"/>
              </w:rPr>
              <w:t xml:space="preserve">la nomina della commissione di valutazione per la valutazione delle candidature di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pervenute</w:t>
            </w:r>
            <w:r w:rsidRPr="00D55D08">
              <w:rPr>
                <w:rFonts w:ascii="Verdana" w:eastAsia="Verdana" w:hAnsi="Verdana" w:cs="Verdana"/>
                <w:sz w:val="18"/>
                <w:szCs w:val="18"/>
              </w:rPr>
              <w:t xml:space="preserve">, </w:t>
            </w:r>
            <w:proofErr w:type="spellStart"/>
            <w:r w:rsidRPr="00D55D08">
              <w:rPr>
                <w:rFonts w:ascii="Verdana" w:hAnsi="Verdana"/>
                <w:color w:val="000000"/>
                <w:sz w:val="18"/>
                <w:szCs w:val="18"/>
              </w:rPr>
              <w:t>prot.n</w:t>
            </w:r>
            <w:proofErr w:type="spellEnd"/>
            <w:r w:rsidRPr="00D55D08">
              <w:rPr>
                <w:rFonts w:ascii="Verdana" w:hAnsi="Verdana"/>
                <w:color w:val="000000"/>
                <w:sz w:val="18"/>
                <w:szCs w:val="18"/>
              </w:rPr>
              <w:t>.1</w:t>
            </w:r>
            <w:r w:rsidR="00AC2C30">
              <w:rPr>
                <w:rFonts w:ascii="Verdana" w:hAnsi="Verdana"/>
                <w:color w:val="000000"/>
                <w:sz w:val="18"/>
                <w:szCs w:val="18"/>
              </w:rPr>
              <w:t>9374 del 06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/11</w:t>
            </w:r>
            <w:r w:rsidRPr="00D55D08">
              <w:rPr>
                <w:rFonts w:ascii="Verdana" w:hAnsi="Verdana"/>
                <w:color w:val="000000"/>
                <w:sz w:val="18"/>
                <w:szCs w:val="18"/>
              </w:rPr>
              <w:t>/2024</w:t>
            </w:r>
            <w:r w:rsidRPr="00D55D08"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  <w:p w:rsidR="00AE2085" w:rsidRPr="00D55D08" w:rsidRDefault="00AE2085" w:rsidP="00AE20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2D5A91">
        <w:trPr>
          <w:cantSplit/>
          <w:trHeight w:val="52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5A91" w:rsidRPr="00D55D08" w:rsidRDefault="002D5A91" w:rsidP="002D5A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D55D08">
              <w:rPr>
                <w:rFonts w:ascii="Verdana" w:eastAsia="Verdana" w:hAnsi="Verdana" w:cs="Verdana"/>
                <w:b/>
                <w:sz w:val="18"/>
                <w:szCs w:val="18"/>
              </w:rPr>
              <w:t>VISTO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5A91" w:rsidRPr="00D55D08" w:rsidRDefault="0080045A" w:rsidP="0080045A">
            <w:pPr>
              <w:pStyle w:val="normal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il verbale di valutazione della</w:t>
            </w:r>
            <w:r w:rsidR="002D5A91" w:rsidRPr="00D55D08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="00AC2C30">
              <w:rPr>
                <w:rFonts w:ascii="Verdana" w:eastAsia="Verdana" w:hAnsi="Verdana" w:cs="Verdana"/>
                <w:sz w:val="18"/>
                <w:szCs w:val="18"/>
              </w:rPr>
              <w:t>Commissione riunitasi in data 08</w:t>
            </w:r>
            <w:r w:rsidR="002D5A91">
              <w:rPr>
                <w:rFonts w:ascii="Verdana" w:eastAsia="Verdana" w:hAnsi="Verdana" w:cs="Verdana"/>
                <w:sz w:val="18"/>
                <w:szCs w:val="18"/>
              </w:rPr>
              <w:t>/11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/2024, agli atti del protocollo </w:t>
            </w:r>
            <w:r w:rsidR="002D5A91" w:rsidRPr="00D55D08">
              <w:rPr>
                <w:rFonts w:ascii="Verdana" w:eastAsia="Verdana" w:hAnsi="Verdana" w:cs="Verdana"/>
                <w:sz w:val="18"/>
                <w:szCs w:val="18"/>
              </w:rPr>
              <w:t>n.1</w:t>
            </w:r>
            <w:r w:rsidR="00AC2C30">
              <w:rPr>
                <w:rFonts w:ascii="Verdana" w:eastAsia="Verdana" w:hAnsi="Verdana" w:cs="Verdana"/>
                <w:sz w:val="18"/>
                <w:szCs w:val="18"/>
              </w:rPr>
              <w:t>9589</w:t>
            </w:r>
            <w:r w:rsidR="002D5A91" w:rsidRPr="00D55D08">
              <w:rPr>
                <w:rFonts w:ascii="Verdana" w:eastAsia="Verdana" w:hAnsi="Verdana" w:cs="Verdana"/>
                <w:sz w:val="18"/>
                <w:szCs w:val="18"/>
              </w:rPr>
              <w:t>IV.5 del 0</w:t>
            </w:r>
            <w:r w:rsidR="00AC2C30">
              <w:rPr>
                <w:rFonts w:ascii="Verdana" w:eastAsia="Verdana" w:hAnsi="Verdana" w:cs="Verdana"/>
                <w:sz w:val="18"/>
                <w:szCs w:val="18"/>
              </w:rPr>
              <w:t>8</w:t>
            </w:r>
            <w:r w:rsidR="002D5A91" w:rsidRPr="00D55D08">
              <w:rPr>
                <w:rFonts w:ascii="Verdana" w:eastAsia="Verdana" w:hAnsi="Verdana" w:cs="Verdana"/>
                <w:sz w:val="18"/>
                <w:szCs w:val="18"/>
              </w:rPr>
              <w:t>/1</w:t>
            </w:r>
            <w:r w:rsidR="002D5A91">
              <w:rPr>
                <w:rFonts w:ascii="Verdana" w:eastAsia="Verdana" w:hAnsi="Verdana" w:cs="Verdana"/>
                <w:sz w:val="18"/>
                <w:szCs w:val="18"/>
              </w:rPr>
              <w:t>1</w:t>
            </w:r>
            <w:r w:rsidR="002D5A91" w:rsidRPr="00D55D08">
              <w:rPr>
                <w:rFonts w:ascii="Verdana" w:eastAsia="Verdana" w:hAnsi="Verdana" w:cs="Verdana"/>
                <w:sz w:val="18"/>
                <w:szCs w:val="18"/>
              </w:rPr>
              <w:t>/2024;</w:t>
            </w:r>
          </w:p>
        </w:tc>
      </w:tr>
      <w:tr w:rsidR="00AE2085">
        <w:trPr>
          <w:cantSplit/>
          <w:trHeight w:val="52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E2085" w:rsidRPr="00D22F01" w:rsidRDefault="00AE2085" w:rsidP="00AE20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D22F01">
              <w:rPr>
                <w:rFonts w:ascii="Verdana" w:eastAsia="Verdana" w:hAnsi="Verdana" w:cs="Verdana"/>
                <w:b/>
                <w:sz w:val="18"/>
                <w:szCs w:val="18"/>
              </w:rPr>
              <w:t>CONSIDERATA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E2085" w:rsidRPr="00D22F01" w:rsidRDefault="00AE2085" w:rsidP="003E369C">
            <w:pPr>
              <w:pStyle w:val="normal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D22F01">
              <w:rPr>
                <w:rFonts w:ascii="Verdana" w:eastAsia="Verdana" w:hAnsi="Verdana" w:cs="Verdana"/>
                <w:sz w:val="18"/>
                <w:szCs w:val="18"/>
              </w:rPr>
              <w:t>la gradu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atoria provvisoria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prot.n.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19599IV.5 del 08/11</w:t>
            </w:r>
            <w:r w:rsidRPr="00D22F01">
              <w:rPr>
                <w:rFonts w:ascii="Verdana" w:eastAsia="Verdana" w:hAnsi="Verdana" w:cs="Verdana"/>
                <w:sz w:val="18"/>
                <w:szCs w:val="18"/>
              </w:rPr>
              <w:t>/2024;</w:t>
            </w:r>
          </w:p>
        </w:tc>
      </w:tr>
      <w:tr w:rsidR="00AE2085">
        <w:trPr>
          <w:cantSplit/>
          <w:trHeight w:val="525"/>
          <w:tblHeader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E2085" w:rsidRPr="00D22F01" w:rsidRDefault="00AE2085" w:rsidP="00AE208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D22F01">
              <w:rPr>
                <w:rFonts w:ascii="Verdana" w:eastAsia="Verdana" w:hAnsi="Verdana" w:cs="Verdana"/>
                <w:b/>
                <w:sz w:val="18"/>
                <w:szCs w:val="18"/>
              </w:rPr>
              <w:t>CONSIDERATO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E2085" w:rsidRPr="00D22F01" w:rsidRDefault="00AE2085" w:rsidP="003E369C">
            <w:pPr>
              <w:pStyle w:val="normal"/>
              <w:spacing w:line="360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D22F01">
              <w:rPr>
                <w:rFonts w:ascii="Verdana" w:hAnsi="Verdana"/>
                <w:sz w:val="18"/>
                <w:szCs w:val="18"/>
              </w:rPr>
              <w:t>che non sono pervenuti reclami avverso la graduatoria provvisoria</w:t>
            </w:r>
            <w:r>
              <w:rPr>
                <w:rFonts w:ascii="Verdana" w:hAnsi="Verdana"/>
                <w:sz w:val="18"/>
                <w:szCs w:val="18"/>
              </w:rPr>
              <w:t>;</w:t>
            </w:r>
          </w:p>
        </w:tc>
      </w:tr>
    </w:tbl>
    <w:p w:rsidR="00071D15" w:rsidRDefault="002D5A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72" w:hanging="2"/>
        <w:jc w:val="both"/>
        <w:rPr>
          <w:rFonts w:ascii="Verdana" w:eastAsia="Verdana" w:hAnsi="Verdana" w:cs="Verdana"/>
          <w:i/>
          <w:sz w:val="18"/>
          <w:szCs w:val="18"/>
        </w:rPr>
      </w:pPr>
      <w:r>
        <w:rPr>
          <w:rFonts w:ascii="Verdana" w:eastAsia="Verdana" w:hAnsi="Verdana" w:cs="Verdana"/>
          <w:i/>
          <w:sz w:val="18"/>
          <w:szCs w:val="18"/>
        </w:rPr>
        <w:t>tutto ciò visto, ritenuto e rilevato, che costituisce parte integrante del presente atto,</w:t>
      </w:r>
    </w:p>
    <w:p w:rsidR="002D5A91" w:rsidRDefault="002D5A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72" w:hanging="2"/>
        <w:jc w:val="both"/>
        <w:rPr>
          <w:rFonts w:ascii="Verdana" w:eastAsia="Verdana" w:hAnsi="Verdana" w:cs="Verdana"/>
          <w:sz w:val="18"/>
          <w:szCs w:val="18"/>
        </w:rPr>
      </w:pPr>
    </w:p>
    <w:p w:rsidR="002D5A91" w:rsidRDefault="002D5A91" w:rsidP="002D5A91">
      <w:pPr>
        <w:pStyle w:val="normal"/>
        <w:ind w:hanging="2"/>
        <w:jc w:val="center"/>
        <w:rPr>
          <w:rFonts w:ascii="Verdana" w:eastAsia="Verdana" w:hAnsi="Verdana" w:cs="Verdana"/>
          <w:b/>
          <w:sz w:val="18"/>
          <w:szCs w:val="18"/>
        </w:rPr>
      </w:pPr>
      <w:r w:rsidRPr="00F52E9B">
        <w:rPr>
          <w:rFonts w:ascii="Verdana" w:eastAsia="Verdana" w:hAnsi="Verdana" w:cs="Verdana"/>
          <w:b/>
          <w:sz w:val="18"/>
          <w:szCs w:val="18"/>
        </w:rPr>
        <w:t>DECRETA</w:t>
      </w:r>
    </w:p>
    <w:p w:rsidR="00AE2085" w:rsidRDefault="00AE2085" w:rsidP="002D5A91">
      <w:pPr>
        <w:pStyle w:val="normal"/>
        <w:ind w:hanging="2"/>
        <w:jc w:val="center"/>
        <w:rPr>
          <w:rFonts w:ascii="Verdana" w:eastAsia="Verdana" w:hAnsi="Verdana" w:cs="Verdana"/>
          <w:b/>
          <w:sz w:val="18"/>
          <w:szCs w:val="18"/>
        </w:rPr>
      </w:pPr>
    </w:p>
    <w:p w:rsidR="0080045A" w:rsidRPr="0080045A" w:rsidRDefault="002D5A91" w:rsidP="00AE20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80045A">
        <w:rPr>
          <w:rFonts w:ascii="Verdana" w:eastAsia="Verdana" w:hAnsi="Verdana" w:cs="Verdana"/>
          <w:sz w:val="18"/>
          <w:szCs w:val="18"/>
        </w:rPr>
        <w:t xml:space="preserve">la pubblicazione delle </w:t>
      </w:r>
      <w:r w:rsidRPr="0080045A">
        <w:rPr>
          <w:rFonts w:ascii="Verdana" w:hAnsi="Verdana"/>
          <w:color w:val="000000" w:themeColor="text1"/>
          <w:sz w:val="18"/>
          <w:szCs w:val="18"/>
        </w:rPr>
        <w:t xml:space="preserve">GRADUATORIE </w:t>
      </w:r>
      <w:r w:rsidR="00AE2085">
        <w:rPr>
          <w:rFonts w:ascii="Verdana" w:hAnsi="Verdana"/>
          <w:color w:val="000000" w:themeColor="text1"/>
          <w:sz w:val="18"/>
          <w:szCs w:val="18"/>
        </w:rPr>
        <w:t>DEFINITIVE</w:t>
      </w:r>
      <w:r w:rsidR="0080045A">
        <w:rPr>
          <w:rFonts w:ascii="Verdana" w:hAnsi="Verdana"/>
          <w:color w:val="000000" w:themeColor="text1"/>
          <w:sz w:val="18"/>
          <w:szCs w:val="18"/>
        </w:rPr>
        <w:t xml:space="preserve"> relative</w:t>
      </w:r>
      <w:r w:rsidR="0080045A" w:rsidRPr="0080045A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80045A" w:rsidRPr="0080045A">
        <w:rPr>
          <w:rFonts w:ascii="Verdana" w:eastAsia="Verdana" w:hAnsi="Verdana" w:cs="Verdana"/>
          <w:color w:val="000000"/>
          <w:sz w:val="18"/>
          <w:szCs w:val="18"/>
        </w:rPr>
        <w:t xml:space="preserve">all’AVVISO UNICO per la SELEZIONE di PERSONALE INTERNO/ESTERNO per il ruolo di docenti ESPERTI </w:t>
      </w:r>
      <w:r w:rsidR="0080045A" w:rsidRPr="0080045A">
        <w:rPr>
          <w:rFonts w:ascii="Verdana" w:eastAsia="Verdana" w:hAnsi="Verdana" w:cs="Verdana"/>
          <w:sz w:val="18"/>
          <w:szCs w:val="18"/>
        </w:rPr>
        <w:t xml:space="preserve">e </w:t>
      </w:r>
      <w:r w:rsidR="0080045A" w:rsidRPr="0080045A">
        <w:rPr>
          <w:rFonts w:ascii="Verdana" w:eastAsia="Verdana" w:hAnsi="Verdana" w:cs="Verdana"/>
          <w:color w:val="000000"/>
          <w:sz w:val="18"/>
          <w:szCs w:val="18"/>
        </w:rPr>
        <w:t>TUTOR nei percorsi afferenti al progetto “</w:t>
      </w:r>
      <w:r w:rsidR="0080045A" w:rsidRPr="0080045A">
        <w:rPr>
          <w:rFonts w:ascii="Verdana" w:eastAsia="Verdana" w:hAnsi="Verdana" w:cs="Verdana"/>
          <w:i/>
          <w:color w:val="000000"/>
          <w:sz w:val="18"/>
          <w:szCs w:val="18"/>
        </w:rPr>
        <w:t xml:space="preserve">competenze </w:t>
      </w:r>
      <w:proofErr w:type="spellStart"/>
      <w:r w:rsidR="0080045A" w:rsidRPr="0080045A">
        <w:rPr>
          <w:rFonts w:ascii="Verdana" w:eastAsia="Verdana" w:hAnsi="Verdana" w:cs="Verdana"/>
          <w:i/>
          <w:color w:val="000000"/>
          <w:sz w:val="18"/>
          <w:szCs w:val="18"/>
        </w:rPr>
        <w:t>stem</w:t>
      </w:r>
      <w:proofErr w:type="spellEnd"/>
      <w:r w:rsidR="0080045A" w:rsidRPr="0080045A">
        <w:rPr>
          <w:rFonts w:ascii="Verdana" w:eastAsia="Verdana" w:hAnsi="Verdana" w:cs="Verdana"/>
          <w:i/>
          <w:color w:val="000000"/>
          <w:sz w:val="18"/>
          <w:szCs w:val="18"/>
        </w:rPr>
        <w:t xml:space="preserve"> e </w:t>
      </w:r>
      <w:proofErr w:type="spellStart"/>
      <w:r w:rsidR="0080045A" w:rsidRPr="0080045A">
        <w:rPr>
          <w:rFonts w:ascii="Verdana" w:eastAsia="Verdana" w:hAnsi="Verdana" w:cs="Verdana"/>
          <w:i/>
          <w:color w:val="000000"/>
          <w:sz w:val="18"/>
          <w:szCs w:val="18"/>
        </w:rPr>
        <w:t>multilinguistiche</w:t>
      </w:r>
      <w:proofErr w:type="spellEnd"/>
      <w:r w:rsidR="0080045A" w:rsidRPr="0080045A">
        <w:rPr>
          <w:rFonts w:ascii="Verdana" w:eastAsia="Verdana" w:hAnsi="Verdana" w:cs="Verdana"/>
          <w:color w:val="000000"/>
          <w:sz w:val="18"/>
          <w:szCs w:val="18"/>
        </w:rPr>
        <w:t xml:space="preserve">” finanziato nell’ambito del decreto del Ministro dell’istruzione e del merito 12 aprile 2023, n. 65, Missione 4 – Istruzione e Ricerca – Componente 1 – Potenziamento dell’offerta dei servizi di istruzione: dagli asili nido alle Università – Investimento 3.1: Nuove competenze e nuovi linguaggi - Azioni di potenziamento delle competenze STEM e </w:t>
      </w:r>
      <w:proofErr w:type="spellStart"/>
      <w:r w:rsidR="0080045A" w:rsidRPr="0080045A">
        <w:rPr>
          <w:rFonts w:ascii="Verdana" w:eastAsia="Verdana" w:hAnsi="Verdana" w:cs="Verdana"/>
          <w:color w:val="000000"/>
          <w:sz w:val="18"/>
          <w:szCs w:val="18"/>
        </w:rPr>
        <w:t>multilinguistiche</w:t>
      </w:r>
      <w:proofErr w:type="spellEnd"/>
      <w:r w:rsidR="0080045A" w:rsidRPr="0080045A">
        <w:rPr>
          <w:rFonts w:ascii="Verdana" w:eastAsia="Verdana" w:hAnsi="Verdana" w:cs="Verdana"/>
          <w:color w:val="000000"/>
          <w:sz w:val="18"/>
          <w:szCs w:val="18"/>
        </w:rPr>
        <w:t xml:space="preserve"> (D.M. 65/2023).</w:t>
      </w:r>
    </w:p>
    <w:p w:rsidR="0080045A" w:rsidRDefault="0080045A" w:rsidP="00AE2085">
      <w:pPr>
        <w:spacing w:line="276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</w:p>
    <w:p w:rsidR="0080045A" w:rsidRPr="0080045A" w:rsidRDefault="0080045A" w:rsidP="0080045A">
      <w:pPr>
        <w:pStyle w:val="Paragrafoelenco"/>
        <w:numPr>
          <w:ilvl w:val="0"/>
          <w:numId w:val="19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it-IT"/>
        </w:rPr>
      </w:pPr>
      <w:r w:rsidRPr="0080045A">
        <w:rPr>
          <w:rFonts w:ascii="Verdana" w:eastAsia="Times New Roman" w:hAnsi="Verdana" w:cs="Times New Roman"/>
          <w:b/>
          <w:bCs/>
          <w:color w:val="000000"/>
          <w:position w:val="0"/>
          <w:sz w:val="18"/>
          <w:szCs w:val="18"/>
          <w:lang w:eastAsia="it-IT"/>
        </w:rPr>
        <w:t>Intervento "Scientifico/Tecnologico/Matematico"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96"/>
        <w:gridCol w:w="53"/>
        <w:gridCol w:w="4218"/>
        <w:gridCol w:w="106"/>
        <w:gridCol w:w="3681"/>
      </w:tblGrid>
      <w:tr w:rsidR="0080045A" w:rsidRPr="0080045A" w:rsidTr="0080045A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b/>
                <w:bCs/>
                <w:color w:val="000000"/>
                <w:position w:val="0"/>
                <w:sz w:val="18"/>
                <w:szCs w:val="18"/>
                <w:lang w:eastAsia="it-IT"/>
              </w:rPr>
              <w:t>Ruolo Docente Esperto</w:t>
            </w:r>
          </w:p>
        </w:tc>
      </w:tr>
      <w:tr w:rsidR="0080045A" w:rsidRPr="0080045A" w:rsidTr="0080045A">
        <w:trPr>
          <w:jc w:val="center"/>
        </w:trPr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Posizione</w:t>
            </w:r>
          </w:p>
        </w:tc>
        <w:tc>
          <w:tcPr>
            <w:tcW w:w="22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Nominativo</w:t>
            </w:r>
          </w:p>
        </w:tc>
        <w:tc>
          <w:tcPr>
            <w:tcW w:w="1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Tipologia candidatura</w:t>
            </w:r>
          </w:p>
        </w:tc>
      </w:tr>
      <w:tr w:rsidR="0080045A" w:rsidRPr="0080045A" w:rsidTr="0080045A">
        <w:trPr>
          <w:jc w:val="center"/>
        </w:trPr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22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proofErr w:type="spellStart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Abelli</w:t>
            </w:r>
            <w:proofErr w:type="spellEnd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 xml:space="preserve"> Giulia</w:t>
            </w:r>
          </w:p>
        </w:tc>
        <w:tc>
          <w:tcPr>
            <w:tcW w:w="1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rPr>
          <w:jc w:val="center"/>
        </w:trPr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22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Chirico Giuseppe</w:t>
            </w:r>
          </w:p>
        </w:tc>
        <w:tc>
          <w:tcPr>
            <w:tcW w:w="1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rPr>
          <w:jc w:val="center"/>
        </w:trPr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22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proofErr w:type="spellStart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Zumbo</w:t>
            </w:r>
            <w:proofErr w:type="spellEnd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 xml:space="preserve"> Luciano Francesco</w:t>
            </w:r>
          </w:p>
        </w:tc>
        <w:tc>
          <w:tcPr>
            <w:tcW w:w="1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rPr>
          <w:jc w:val="center"/>
        </w:trPr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22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proofErr w:type="spellStart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Varvara</w:t>
            </w:r>
            <w:proofErr w:type="spellEnd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 xml:space="preserve"> Antonio</w:t>
            </w:r>
          </w:p>
        </w:tc>
        <w:tc>
          <w:tcPr>
            <w:tcW w:w="1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rPr>
          <w:jc w:val="center"/>
        </w:trPr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22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proofErr w:type="spellStart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Miscioscia</w:t>
            </w:r>
            <w:proofErr w:type="spellEnd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 xml:space="preserve"> Paola</w:t>
            </w:r>
          </w:p>
        </w:tc>
        <w:tc>
          <w:tcPr>
            <w:tcW w:w="1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Esterno</w:t>
            </w:r>
          </w:p>
        </w:tc>
      </w:tr>
      <w:tr w:rsidR="0080045A" w:rsidRPr="0080045A" w:rsidTr="0080045A">
        <w:trPr>
          <w:jc w:val="center"/>
        </w:trPr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22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Rossi Rita</w:t>
            </w:r>
          </w:p>
        </w:tc>
        <w:tc>
          <w:tcPr>
            <w:tcW w:w="1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Esterno</w:t>
            </w:r>
          </w:p>
        </w:tc>
      </w:tr>
      <w:tr w:rsidR="0080045A" w:rsidRPr="0080045A" w:rsidTr="0080045A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b/>
                <w:bCs/>
                <w:color w:val="000000"/>
                <w:position w:val="0"/>
                <w:sz w:val="18"/>
                <w:szCs w:val="18"/>
                <w:lang w:eastAsia="it-IT"/>
              </w:rPr>
              <w:t>Ruolo Tutor</w:t>
            </w:r>
          </w:p>
        </w:tc>
      </w:tr>
      <w:tr w:rsidR="0080045A" w:rsidRPr="0080045A" w:rsidTr="0080045A">
        <w:trPr>
          <w:jc w:val="center"/>
        </w:trPr>
        <w:tc>
          <w:tcPr>
            <w:tcW w:w="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Posizione</w:t>
            </w:r>
          </w:p>
        </w:tc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Nominativo</w:t>
            </w:r>
          </w:p>
        </w:tc>
        <w:tc>
          <w:tcPr>
            <w:tcW w:w="1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Tipologia candidatura</w:t>
            </w:r>
          </w:p>
        </w:tc>
      </w:tr>
      <w:tr w:rsidR="0080045A" w:rsidRPr="0080045A" w:rsidTr="0080045A">
        <w:trPr>
          <w:jc w:val="center"/>
        </w:trPr>
        <w:tc>
          <w:tcPr>
            <w:tcW w:w="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Chirico Giuseppe</w:t>
            </w:r>
          </w:p>
        </w:tc>
        <w:tc>
          <w:tcPr>
            <w:tcW w:w="1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rPr>
          <w:jc w:val="center"/>
        </w:trPr>
        <w:tc>
          <w:tcPr>
            <w:tcW w:w="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proofErr w:type="spellStart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Callipari</w:t>
            </w:r>
            <w:proofErr w:type="spellEnd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 xml:space="preserve"> Elisa</w:t>
            </w:r>
          </w:p>
        </w:tc>
        <w:tc>
          <w:tcPr>
            <w:tcW w:w="1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rPr>
          <w:jc w:val="center"/>
        </w:trPr>
        <w:tc>
          <w:tcPr>
            <w:tcW w:w="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De Michele Maria Chiara</w:t>
            </w:r>
          </w:p>
        </w:tc>
        <w:tc>
          <w:tcPr>
            <w:tcW w:w="1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rPr>
          <w:jc w:val="center"/>
        </w:trPr>
        <w:tc>
          <w:tcPr>
            <w:tcW w:w="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Strazza Antonella</w:t>
            </w:r>
          </w:p>
        </w:tc>
        <w:tc>
          <w:tcPr>
            <w:tcW w:w="1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rPr>
          <w:jc w:val="center"/>
        </w:trPr>
        <w:tc>
          <w:tcPr>
            <w:tcW w:w="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proofErr w:type="spellStart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Varvara</w:t>
            </w:r>
            <w:proofErr w:type="spellEnd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 xml:space="preserve"> Antonio</w:t>
            </w:r>
          </w:p>
        </w:tc>
        <w:tc>
          <w:tcPr>
            <w:tcW w:w="1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rPr>
          <w:jc w:val="center"/>
        </w:trPr>
        <w:tc>
          <w:tcPr>
            <w:tcW w:w="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proofErr w:type="spellStart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Vasirani</w:t>
            </w:r>
            <w:proofErr w:type="spellEnd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 xml:space="preserve"> Fabio</w:t>
            </w:r>
          </w:p>
        </w:tc>
        <w:tc>
          <w:tcPr>
            <w:tcW w:w="1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rPr>
          <w:jc w:val="center"/>
        </w:trPr>
        <w:tc>
          <w:tcPr>
            <w:tcW w:w="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lastRenderedPageBreak/>
              <w:t>7</w:t>
            </w:r>
          </w:p>
        </w:tc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proofErr w:type="spellStart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Pignedoli</w:t>
            </w:r>
            <w:proofErr w:type="spellEnd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 xml:space="preserve"> Giuseppe</w:t>
            </w:r>
          </w:p>
        </w:tc>
        <w:tc>
          <w:tcPr>
            <w:tcW w:w="1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rPr>
          <w:jc w:val="center"/>
        </w:trPr>
        <w:tc>
          <w:tcPr>
            <w:tcW w:w="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Costi Mattia Antonio</w:t>
            </w:r>
          </w:p>
        </w:tc>
        <w:tc>
          <w:tcPr>
            <w:tcW w:w="1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rPr>
          <w:jc w:val="center"/>
        </w:trPr>
        <w:tc>
          <w:tcPr>
            <w:tcW w:w="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Monti Massimo</w:t>
            </w:r>
          </w:p>
        </w:tc>
        <w:tc>
          <w:tcPr>
            <w:tcW w:w="1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rPr>
          <w:jc w:val="center"/>
        </w:trPr>
        <w:tc>
          <w:tcPr>
            <w:tcW w:w="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proofErr w:type="spellStart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Miscioscia</w:t>
            </w:r>
            <w:proofErr w:type="spellEnd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 xml:space="preserve"> Paola</w:t>
            </w:r>
          </w:p>
        </w:tc>
        <w:tc>
          <w:tcPr>
            <w:tcW w:w="1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Esterno</w:t>
            </w:r>
          </w:p>
        </w:tc>
      </w:tr>
      <w:tr w:rsidR="0080045A" w:rsidRPr="0080045A" w:rsidTr="0080045A">
        <w:trPr>
          <w:jc w:val="center"/>
        </w:trPr>
        <w:tc>
          <w:tcPr>
            <w:tcW w:w="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11</w:t>
            </w:r>
          </w:p>
        </w:tc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Rossi Rita</w:t>
            </w:r>
          </w:p>
        </w:tc>
        <w:tc>
          <w:tcPr>
            <w:tcW w:w="1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Esterno</w:t>
            </w:r>
          </w:p>
        </w:tc>
      </w:tr>
      <w:tr w:rsidR="0080045A" w:rsidRPr="0080045A" w:rsidTr="0080045A">
        <w:trPr>
          <w:jc w:val="center"/>
        </w:trPr>
        <w:tc>
          <w:tcPr>
            <w:tcW w:w="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12</w:t>
            </w:r>
          </w:p>
        </w:tc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proofErr w:type="spellStart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Marastoni</w:t>
            </w:r>
            <w:proofErr w:type="spellEnd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 xml:space="preserve"> Martina </w:t>
            </w:r>
          </w:p>
        </w:tc>
        <w:tc>
          <w:tcPr>
            <w:tcW w:w="1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Esterno</w:t>
            </w:r>
          </w:p>
        </w:tc>
      </w:tr>
    </w:tbl>
    <w:p w:rsidR="0080045A" w:rsidRDefault="0080045A" w:rsidP="0080045A">
      <w:pPr>
        <w:suppressAutoHyphens w:val="0"/>
        <w:spacing w:line="240" w:lineRule="auto"/>
        <w:ind w:leftChars="0" w:left="2" w:firstLineChars="0" w:hanging="2"/>
        <w:jc w:val="both"/>
        <w:textDirection w:val="lrTb"/>
        <w:textAlignment w:val="auto"/>
        <w:outlineLvl w:val="9"/>
        <w:rPr>
          <w:rFonts w:ascii="Verdana" w:eastAsia="Times New Roman" w:hAnsi="Verdana" w:cs="Times New Roman"/>
          <w:color w:val="000000"/>
          <w:position w:val="0"/>
          <w:sz w:val="18"/>
          <w:szCs w:val="18"/>
          <w:lang w:eastAsia="it-IT"/>
        </w:rPr>
      </w:pPr>
    </w:p>
    <w:p w:rsidR="0080045A" w:rsidRPr="0080045A" w:rsidRDefault="0080045A" w:rsidP="0080045A">
      <w:pPr>
        <w:pStyle w:val="Paragrafoelenco"/>
        <w:numPr>
          <w:ilvl w:val="0"/>
          <w:numId w:val="19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it-IT"/>
        </w:rPr>
      </w:pPr>
      <w:r w:rsidRPr="0080045A">
        <w:rPr>
          <w:rFonts w:ascii="Verdana" w:eastAsia="Times New Roman" w:hAnsi="Verdana" w:cs="Times New Roman"/>
          <w:b/>
          <w:bCs/>
          <w:color w:val="000000"/>
          <w:position w:val="0"/>
          <w:sz w:val="18"/>
          <w:szCs w:val="18"/>
          <w:lang w:eastAsia="it-IT"/>
        </w:rPr>
        <w:t>Intervento "Realtà Virtuale"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8"/>
        <w:gridCol w:w="292"/>
        <w:gridCol w:w="3323"/>
        <w:gridCol w:w="603"/>
        <w:gridCol w:w="3788"/>
      </w:tblGrid>
      <w:tr w:rsidR="0080045A" w:rsidRPr="0080045A" w:rsidTr="0080045A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b/>
                <w:bCs/>
                <w:color w:val="000000"/>
                <w:position w:val="0"/>
                <w:sz w:val="18"/>
                <w:szCs w:val="18"/>
                <w:lang w:eastAsia="it-IT"/>
              </w:rPr>
              <w:t>Ruolo Docente Esperto</w:t>
            </w:r>
          </w:p>
        </w:tc>
      </w:tr>
      <w:tr w:rsidR="0080045A" w:rsidRPr="0080045A" w:rsidTr="0080045A">
        <w:tc>
          <w:tcPr>
            <w:tcW w:w="10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Posizione</w:t>
            </w:r>
          </w:p>
        </w:tc>
        <w:tc>
          <w:tcPr>
            <w:tcW w:w="1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Nominativo</w:t>
            </w:r>
          </w:p>
        </w:tc>
        <w:tc>
          <w:tcPr>
            <w:tcW w:w="22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Tipologia candidatura</w:t>
            </w:r>
          </w:p>
        </w:tc>
      </w:tr>
      <w:tr w:rsidR="0080045A" w:rsidRPr="0080045A" w:rsidTr="0080045A">
        <w:tc>
          <w:tcPr>
            <w:tcW w:w="10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proofErr w:type="spellStart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Idone</w:t>
            </w:r>
            <w:proofErr w:type="spellEnd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 xml:space="preserve"> Giuseppe</w:t>
            </w:r>
          </w:p>
        </w:tc>
        <w:tc>
          <w:tcPr>
            <w:tcW w:w="22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b/>
                <w:bCs/>
                <w:color w:val="000000"/>
                <w:position w:val="0"/>
                <w:sz w:val="18"/>
                <w:szCs w:val="18"/>
                <w:lang w:eastAsia="it-IT"/>
              </w:rPr>
              <w:t>Ruolo Tutor</w:t>
            </w:r>
          </w:p>
        </w:tc>
      </w:tr>
      <w:tr w:rsidR="0080045A" w:rsidRPr="0080045A" w:rsidTr="0080045A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Posizione</w:t>
            </w:r>
          </w:p>
        </w:tc>
        <w:tc>
          <w:tcPr>
            <w:tcW w:w="21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Nominativo</w:t>
            </w:r>
          </w:p>
        </w:tc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Tipologia candidatura</w:t>
            </w:r>
          </w:p>
        </w:tc>
      </w:tr>
      <w:tr w:rsidR="0080045A" w:rsidRPr="0080045A" w:rsidTr="0080045A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21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Vaccari Isabella</w:t>
            </w:r>
          </w:p>
        </w:tc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21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De Michele Maria Chiara</w:t>
            </w:r>
          </w:p>
        </w:tc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21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proofErr w:type="spellStart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Strazza</w:t>
            </w:r>
            <w:proofErr w:type="spellEnd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 xml:space="preserve"> Antonella</w:t>
            </w:r>
          </w:p>
        </w:tc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21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proofErr w:type="spellStart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Varvara</w:t>
            </w:r>
            <w:proofErr w:type="spellEnd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 xml:space="preserve"> Antonio</w:t>
            </w:r>
          </w:p>
        </w:tc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21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Monti Massimo</w:t>
            </w:r>
          </w:p>
        </w:tc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21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proofErr w:type="spellStart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Miscioscia</w:t>
            </w:r>
            <w:proofErr w:type="spellEnd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 xml:space="preserve"> Paola </w:t>
            </w:r>
          </w:p>
        </w:tc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Esterno</w:t>
            </w:r>
          </w:p>
        </w:tc>
      </w:tr>
    </w:tbl>
    <w:p w:rsidR="0080045A" w:rsidRDefault="0080045A" w:rsidP="0080045A">
      <w:pPr>
        <w:suppressAutoHyphens w:val="0"/>
        <w:spacing w:line="240" w:lineRule="auto"/>
        <w:ind w:leftChars="0" w:left="-2" w:firstLineChars="0" w:hanging="2"/>
        <w:jc w:val="both"/>
        <w:textDirection w:val="lrTb"/>
        <w:textAlignment w:val="auto"/>
        <w:outlineLvl w:val="9"/>
        <w:rPr>
          <w:rFonts w:ascii="Verdana" w:eastAsia="Times New Roman" w:hAnsi="Verdana" w:cs="Times New Roman"/>
          <w:color w:val="000000"/>
          <w:position w:val="0"/>
          <w:sz w:val="18"/>
          <w:szCs w:val="18"/>
          <w:lang w:eastAsia="it-IT"/>
        </w:rPr>
      </w:pPr>
    </w:p>
    <w:p w:rsidR="0080045A" w:rsidRPr="0080045A" w:rsidRDefault="0080045A" w:rsidP="0080045A">
      <w:pPr>
        <w:pStyle w:val="Paragrafoelenco"/>
        <w:numPr>
          <w:ilvl w:val="0"/>
          <w:numId w:val="19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it-IT"/>
        </w:rPr>
      </w:pPr>
      <w:r w:rsidRPr="0080045A">
        <w:rPr>
          <w:rFonts w:ascii="Verdana" w:eastAsia="Times New Roman" w:hAnsi="Verdana" w:cs="Times New Roman"/>
          <w:b/>
          <w:bCs/>
          <w:color w:val="000000"/>
          <w:position w:val="0"/>
          <w:sz w:val="18"/>
          <w:szCs w:val="18"/>
          <w:lang w:eastAsia="it-IT"/>
        </w:rPr>
        <w:t>Intervento "Saldatura"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8"/>
        <w:gridCol w:w="227"/>
        <w:gridCol w:w="3526"/>
        <w:gridCol w:w="465"/>
        <w:gridCol w:w="3788"/>
      </w:tblGrid>
      <w:tr w:rsidR="0080045A" w:rsidRPr="0080045A" w:rsidTr="0080045A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b/>
                <w:bCs/>
                <w:color w:val="000000"/>
                <w:position w:val="0"/>
                <w:sz w:val="18"/>
                <w:szCs w:val="18"/>
                <w:lang w:eastAsia="it-IT"/>
              </w:rPr>
              <w:t>Ruolo Docente Esperto</w:t>
            </w:r>
          </w:p>
        </w:tc>
      </w:tr>
      <w:tr w:rsidR="0080045A" w:rsidRPr="0080045A" w:rsidTr="0080045A">
        <w:tc>
          <w:tcPr>
            <w:tcW w:w="10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Posizione</w:t>
            </w:r>
          </w:p>
        </w:tc>
        <w:tc>
          <w:tcPr>
            <w:tcW w:w="1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Nominativo</w:t>
            </w:r>
          </w:p>
        </w:tc>
        <w:tc>
          <w:tcPr>
            <w:tcW w:w="21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Tipologia candidatura</w:t>
            </w:r>
          </w:p>
        </w:tc>
      </w:tr>
      <w:tr w:rsidR="0080045A" w:rsidRPr="0080045A" w:rsidTr="0080045A">
        <w:tc>
          <w:tcPr>
            <w:tcW w:w="10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-2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proofErr w:type="spellStart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Gallitelli</w:t>
            </w:r>
            <w:proofErr w:type="spellEnd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 xml:space="preserve"> Giovanni</w:t>
            </w:r>
          </w:p>
        </w:tc>
        <w:tc>
          <w:tcPr>
            <w:tcW w:w="21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b/>
                <w:bCs/>
                <w:color w:val="000000"/>
                <w:position w:val="0"/>
                <w:sz w:val="18"/>
                <w:szCs w:val="18"/>
                <w:lang w:eastAsia="it-IT"/>
              </w:rPr>
              <w:t>Ruolo Tutor</w:t>
            </w:r>
          </w:p>
        </w:tc>
      </w:tr>
      <w:tr w:rsidR="0080045A" w:rsidRPr="0080045A" w:rsidTr="0080045A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Posizione</w:t>
            </w:r>
          </w:p>
        </w:tc>
        <w:tc>
          <w:tcPr>
            <w:tcW w:w="21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Nominativo</w:t>
            </w:r>
          </w:p>
        </w:tc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Tipologia candidatura</w:t>
            </w:r>
          </w:p>
        </w:tc>
      </w:tr>
      <w:tr w:rsidR="0080045A" w:rsidRPr="0080045A" w:rsidTr="0080045A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21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proofErr w:type="spellStart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Melchiorri</w:t>
            </w:r>
            <w:proofErr w:type="spellEnd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 xml:space="preserve"> Filippo</w:t>
            </w:r>
          </w:p>
        </w:tc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21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proofErr w:type="spellStart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Varvara</w:t>
            </w:r>
            <w:proofErr w:type="spellEnd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 xml:space="preserve"> Antonio</w:t>
            </w:r>
          </w:p>
        </w:tc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21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Monti Massimo</w:t>
            </w:r>
          </w:p>
        </w:tc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21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De Michele Maria Chiara</w:t>
            </w:r>
          </w:p>
        </w:tc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21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proofErr w:type="spellStart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Miscioscia</w:t>
            </w:r>
            <w:proofErr w:type="spellEnd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 xml:space="preserve"> Paola</w:t>
            </w:r>
          </w:p>
        </w:tc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Esterno</w:t>
            </w:r>
          </w:p>
        </w:tc>
      </w:tr>
    </w:tbl>
    <w:p w:rsidR="0080045A" w:rsidRDefault="0080045A" w:rsidP="0080045A">
      <w:pPr>
        <w:suppressAutoHyphens w:val="0"/>
        <w:spacing w:line="240" w:lineRule="auto"/>
        <w:ind w:leftChars="0" w:left="-2" w:firstLineChars="0" w:hanging="2"/>
        <w:jc w:val="both"/>
        <w:textDirection w:val="lrTb"/>
        <w:textAlignment w:val="auto"/>
        <w:outlineLvl w:val="9"/>
        <w:rPr>
          <w:rFonts w:ascii="Verdana" w:eastAsia="Times New Roman" w:hAnsi="Verdana" w:cs="Times New Roman"/>
          <w:color w:val="000000"/>
          <w:position w:val="0"/>
          <w:sz w:val="18"/>
          <w:szCs w:val="18"/>
          <w:lang w:eastAsia="it-IT"/>
        </w:rPr>
      </w:pPr>
    </w:p>
    <w:p w:rsidR="00AE2085" w:rsidRDefault="00AE2085" w:rsidP="0080045A">
      <w:pPr>
        <w:suppressAutoHyphens w:val="0"/>
        <w:spacing w:line="240" w:lineRule="auto"/>
        <w:ind w:leftChars="0" w:left="-2" w:firstLineChars="0" w:hanging="2"/>
        <w:jc w:val="both"/>
        <w:textDirection w:val="lrTb"/>
        <w:textAlignment w:val="auto"/>
        <w:outlineLvl w:val="9"/>
        <w:rPr>
          <w:rFonts w:ascii="Verdana" w:eastAsia="Times New Roman" w:hAnsi="Verdana" w:cs="Times New Roman"/>
          <w:color w:val="000000"/>
          <w:position w:val="0"/>
          <w:sz w:val="18"/>
          <w:szCs w:val="18"/>
          <w:lang w:eastAsia="it-IT"/>
        </w:rPr>
      </w:pPr>
    </w:p>
    <w:p w:rsidR="00AE2085" w:rsidRDefault="00AE2085" w:rsidP="0080045A">
      <w:pPr>
        <w:suppressAutoHyphens w:val="0"/>
        <w:spacing w:line="240" w:lineRule="auto"/>
        <w:ind w:leftChars="0" w:left="-2" w:firstLineChars="0" w:hanging="2"/>
        <w:jc w:val="both"/>
        <w:textDirection w:val="lrTb"/>
        <w:textAlignment w:val="auto"/>
        <w:outlineLvl w:val="9"/>
        <w:rPr>
          <w:rFonts w:ascii="Verdana" w:eastAsia="Times New Roman" w:hAnsi="Verdana" w:cs="Times New Roman"/>
          <w:color w:val="000000"/>
          <w:position w:val="0"/>
          <w:sz w:val="18"/>
          <w:szCs w:val="18"/>
          <w:lang w:eastAsia="it-IT"/>
        </w:rPr>
      </w:pPr>
    </w:p>
    <w:p w:rsidR="0080045A" w:rsidRPr="0080045A" w:rsidRDefault="0080045A" w:rsidP="0080045A">
      <w:pPr>
        <w:pStyle w:val="Paragrafoelenco"/>
        <w:numPr>
          <w:ilvl w:val="0"/>
          <w:numId w:val="19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it-IT"/>
        </w:rPr>
      </w:pPr>
      <w:r w:rsidRPr="0080045A">
        <w:rPr>
          <w:rFonts w:ascii="Verdana" w:eastAsia="Times New Roman" w:hAnsi="Verdana" w:cs="Times New Roman"/>
          <w:b/>
          <w:bCs/>
          <w:color w:val="000000"/>
          <w:position w:val="0"/>
          <w:sz w:val="18"/>
          <w:szCs w:val="18"/>
          <w:lang w:eastAsia="it-IT"/>
        </w:rPr>
        <w:t>Intervento "Inglese"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9"/>
        <w:gridCol w:w="307"/>
        <w:gridCol w:w="3279"/>
        <w:gridCol w:w="631"/>
        <w:gridCol w:w="3788"/>
      </w:tblGrid>
      <w:tr w:rsidR="0080045A" w:rsidRPr="0080045A" w:rsidTr="0080045A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b/>
                <w:bCs/>
                <w:color w:val="000000"/>
                <w:position w:val="0"/>
                <w:sz w:val="18"/>
                <w:szCs w:val="18"/>
                <w:lang w:eastAsia="it-IT"/>
              </w:rPr>
              <w:t>Ruolo Docente Esperto</w:t>
            </w:r>
          </w:p>
        </w:tc>
      </w:tr>
      <w:tr w:rsidR="0080045A" w:rsidRPr="0080045A" w:rsidTr="0080045A">
        <w:tc>
          <w:tcPr>
            <w:tcW w:w="10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Posizione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Nominativo</w:t>
            </w:r>
          </w:p>
        </w:tc>
        <w:tc>
          <w:tcPr>
            <w:tcW w:w="22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Tipologia candidatura</w:t>
            </w:r>
          </w:p>
        </w:tc>
      </w:tr>
      <w:tr w:rsidR="0080045A" w:rsidRPr="0080045A" w:rsidTr="0080045A">
        <w:tc>
          <w:tcPr>
            <w:tcW w:w="10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Ferrari Sara</w:t>
            </w:r>
          </w:p>
        </w:tc>
        <w:tc>
          <w:tcPr>
            <w:tcW w:w="22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c>
          <w:tcPr>
            <w:tcW w:w="10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proofErr w:type="spellStart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Galassi</w:t>
            </w:r>
            <w:proofErr w:type="spellEnd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 xml:space="preserve"> Simona</w:t>
            </w:r>
          </w:p>
        </w:tc>
        <w:tc>
          <w:tcPr>
            <w:tcW w:w="22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b/>
                <w:bCs/>
                <w:color w:val="000000"/>
                <w:position w:val="0"/>
                <w:sz w:val="18"/>
                <w:szCs w:val="18"/>
                <w:lang w:eastAsia="it-IT"/>
              </w:rPr>
              <w:t>Ruolo Tutor</w:t>
            </w:r>
          </w:p>
        </w:tc>
      </w:tr>
      <w:tr w:rsidR="0080045A" w:rsidRPr="0080045A" w:rsidTr="0080045A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Posizione</w:t>
            </w:r>
          </w:p>
        </w:tc>
        <w:tc>
          <w:tcPr>
            <w:tcW w:w="21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Nominativo</w:t>
            </w:r>
          </w:p>
        </w:tc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Tipologia candidatura</w:t>
            </w:r>
          </w:p>
        </w:tc>
      </w:tr>
      <w:tr w:rsidR="0080045A" w:rsidRPr="0080045A" w:rsidTr="0080045A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21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Ferrari Sara</w:t>
            </w:r>
          </w:p>
        </w:tc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21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proofErr w:type="spellStart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Galassi</w:t>
            </w:r>
            <w:proofErr w:type="spellEnd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 xml:space="preserve"> Simona</w:t>
            </w:r>
          </w:p>
        </w:tc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21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Tondelli Cecilia Maria</w:t>
            </w:r>
          </w:p>
        </w:tc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21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proofErr w:type="spellStart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Strazza</w:t>
            </w:r>
            <w:proofErr w:type="spellEnd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 xml:space="preserve"> Antonella</w:t>
            </w:r>
          </w:p>
        </w:tc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21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De Michele Maria Chiara</w:t>
            </w:r>
          </w:p>
        </w:tc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21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proofErr w:type="spellStart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Varvara</w:t>
            </w:r>
            <w:proofErr w:type="spellEnd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 xml:space="preserve"> Antonio</w:t>
            </w:r>
          </w:p>
        </w:tc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21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Costi Mattia Antonio</w:t>
            </w:r>
          </w:p>
        </w:tc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21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Monti Massimo</w:t>
            </w:r>
          </w:p>
        </w:tc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Interno</w:t>
            </w:r>
          </w:p>
        </w:tc>
      </w:tr>
      <w:tr w:rsidR="0080045A" w:rsidRPr="0080045A" w:rsidTr="0080045A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21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proofErr w:type="spellStart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Miscioscia</w:t>
            </w:r>
            <w:proofErr w:type="spellEnd"/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 xml:space="preserve"> Paola</w:t>
            </w:r>
          </w:p>
        </w:tc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5A" w:rsidRPr="0080045A" w:rsidRDefault="0080045A" w:rsidP="0080045A">
            <w:pPr>
              <w:suppressAutoHyphens w:val="0"/>
              <w:spacing w:line="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80045A">
              <w:rPr>
                <w:rFonts w:ascii="Verdana" w:eastAsia="Times New Roman" w:hAnsi="Verdana" w:cs="Times New Roman"/>
                <w:color w:val="000000"/>
                <w:position w:val="0"/>
                <w:sz w:val="18"/>
                <w:szCs w:val="18"/>
                <w:lang w:eastAsia="it-IT"/>
              </w:rPr>
              <w:t>Esterno</w:t>
            </w:r>
          </w:p>
        </w:tc>
      </w:tr>
    </w:tbl>
    <w:p w:rsidR="00112E54" w:rsidRDefault="00112E54" w:rsidP="002E43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Chars="0" w:right="72" w:firstLineChars="0" w:firstLine="0"/>
        <w:jc w:val="both"/>
        <w:rPr>
          <w:rFonts w:ascii="Verdana" w:eastAsia="Verdana" w:hAnsi="Verdana" w:cs="Verdana"/>
          <w:bCs/>
          <w:sz w:val="18"/>
          <w:szCs w:val="1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/>
      </w:tblPr>
      <w:tblGrid>
        <w:gridCol w:w="9838"/>
      </w:tblGrid>
      <w:tr w:rsidR="00AE2085" w:rsidRPr="00AE2085" w:rsidTr="003E369C">
        <w:trPr>
          <w:cantSplit/>
          <w:trHeight w:val="555"/>
          <w:tblHeader/>
        </w:trPr>
        <w:tc>
          <w:tcPr>
            <w:tcW w:w="492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E2085" w:rsidRPr="00AE2085" w:rsidRDefault="00AE2085" w:rsidP="003E3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72" w:hanging="2"/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AE2085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Avverso la presente graduatoria definitiva è ammesso Ricorso al TAR o, in alternativa, ricorso straordinario al Capo dello Stato nelle forme e nei termini previsti dalla Legge. Il Responsabile del Procedimento è il Dirigente Scolastico.</w:t>
            </w:r>
          </w:p>
          <w:p w:rsidR="00AE2085" w:rsidRPr="00AE2085" w:rsidRDefault="00AE2085" w:rsidP="003E3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72" w:hanging="2"/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AE2085" w:rsidRPr="00AE2085" w:rsidTr="003E369C">
        <w:trPr>
          <w:cantSplit/>
          <w:trHeight w:val="630"/>
          <w:tblHeader/>
        </w:trPr>
        <w:tc>
          <w:tcPr>
            <w:tcW w:w="492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E2085" w:rsidRPr="00AE2085" w:rsidRDefault="00AE2085" w:rsidP="003E3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72" w:hanging="2"/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  <w:u w:val="single"/>
              </w:rPr>
            </w:pPr>
            <w:r w:rsidRPr="00AE2085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Il presente atto viene reso pubblico mediante pubblicazione su albo pretorio e amministrazione trasparente presenti sul sito web dell’istituto</w:t>
            </w:r>
            <w:hyperlink r:id="rId9">
              <w:r w:rsidRPr="00AE2085">
                <w:rPr>
                  <w:rStyle w:val="Collegamentoipertestuale"/>
                  <w:rFonts w:ascii="Verdana" w:eastAsia="Verdana" w:hAnsi="Verdana" w:cs="Verdana"/>
                  <w:sz w:val="18"/>
                  <w:szCs w:val="18"/>
                </w:rPr>
                <w:t xml:space="preserve"> </w:t>
              </w:r>
            </w:hyperlink>
            <w:hyperlink r:id="rId10">
              <w:r w:rsidRPr="00AE2085">
                <w:rPr>
                  <w:rStyle w:val="Collegamentoipertestuale"/>
                  <w:rFonts w:ascii="Verdana" w:eastAsia="Verdana" w:hAnsi="Verdana" w:cs="Verdana"/>
                  <w:sz w:val="18"/>
                  <w:szCs w:val="18"/>
                </w:rPr>
                <w:t>https://iiscastelnovonemonti.edu.it</w:t>
              </w:r>
            </w:hyperlink>
          </w:p>
        </w:tc>
      </w:tr>
    </w:tbl>
    <w:p w:rsidR="002D5A91" w:rsidRPr="002D5A91" w:rsidRDefault="002D5A91" w:rsidP="002D5A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72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:rsidR="002D5A91" w:rsidRPr="002D5A91" w:rsidRDefault="002D5A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72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:rsidR="00071D15" w:rsidRDefault="00071D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6" w:lineRule="auto"/>
        <w:ind w:left="0" w:right="72" w:hanging="2"/>
        <w:jc w:val="both"/>
        <w:rPr>
          <w:rFonts w:ascii="Verdana" w:eastAsia="Verdana" w:hAnsi="Verdana" w:cs="Verdana"/>
          <w:sz w:val="18"/>
          <w:szCs w:val="18"/>
        </w:rPr>
      </w:pPr>
    </w:p>
    <w:p w:rsidR="002D5A91" w:rsidRDefault="002D5A91" w:rsidP="00AE208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Chars="0" w:left="2" w:right="72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</w:t>
      </w:r>
      <w:r>
        <w:rPr>
          <w:rFonts w:ascii="Verdana" w:eastAsia="Verdana" w:hAnsi="Verdana" w:cs="Verdana"/>
          <w:color w:val="000000"/>
          <w:sz w:val="18"/>
          <w:szCs w:val="18"/>
        </w:rPr>
        <w:t>L DIRIGENTE SCOLASTICO</w:t>
      </w:r>
    </w:p>
    <w:p w:rsidR="002D5A91" w:rsidRDefault="002D5A91" w:rsidP="00AE208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Chars="0" w:left="2" w:right="72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Dott.ssa Monica </w:t>
      </w:r>
      <w:proofErr w:type="spellStart"/>
      <w:r>
        <w:rPr>
          <w:rFonts w:ascii="Verdana" w:eastAsia="Verdana" w:hAnsi="Verdana" w:cs="Verdana"/>
          <w:b/>
          <w:color w:val="000000"/>
          <w:sz w:val="18"/>
          <w:szCs w:val="18"/>
        </w:rPr>
        <w:t>Giovanelli</w:t>
      </w:r>
      <w:proofErr w:type="spellEnd"/>
    </w:p>
    <w:p w:rsidR="002D5A91" w:rsidRDefault="002E43A0" w:rsidP="00AE208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Chars="0" w:left="2" w:right="72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F.to Digitalmente</w:t>
      </w:r>
    </w:p>
    <w:p w:rsidR="00071D15" w:rsidRDefault="002D5A91" w:rsidP="002E43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Chars="0" w:left="2" w:right="72" w:hanging="2"/>
        <w:jc w:val="both"/>
        <w:rPr>
          <w:rFonts w:ascii="Verdana" w:eastAsia="Verdana" w:hAnsi="Verdana" w:cs="Verdana"/>
          <w:b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:rsidR="00071D15" w:rsidRDefault="00071D15" w:rsidP="002E43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Verdana" w:eastAsia="Verdana" w:hAnsi="Verdana" w:cs="Verdana"/>
          <w:color w:val="000000"/>
          <w:sz w:val="18"/>
          <w:szCs w:val="18"/>
        </w:rPr>
      </w:pPr>
    </w:p>
    <w:sectPr w:rsidR="00071D15" w:rsidSect="00071D15">
      <w:headerReference w:type="default" r:id="rId11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45A" w:rsidRDefault="0080045A" w:rsidP="00513F44">
      <w:pPr>
        <w:spacing w:after="0" w:line="240" w:lineRule="auto"/>
        <w:ind w:left="0" w:hanging="2"/>
      </w:pPr>
      <w:r>
        <w:separator/>
      </w:r>
    </w:p>
  </w:endnote>
  <w:endnote w:type="continuationSeparator" w:id="1">
    <w:p w:rsidR="0080045A" w:rsidRDefault="0080045A" w:rsidP="00513F44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45A" w:rsidRDefault="0080045A" w:rsidP="00513F44">
      <w:pPr>
        <w:spacing w:after="0" w:line="240" w:lineRule="auto"/>
        <w:ind w:left="0" w:hanging="2"/>
      </w:pPr>
      <w:r>
        <w:separator/>
      </w:r>
    </w:p>
  </w:footnote>
  <w:footnote w:type="continuationSeparator" w:id="1">
    <w:p w:rsidR="0080045A" w:rsidRDefault="0080045A" w:rsidP="00513F44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45A" w:rsidRDefault="0080045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  <w:lang w:eastAsia="it-IT"/>
      </w:rPr>
      <w:drawing>
        <wp:inline distT="0" distB="0" distL="114300" distR="114300">
          <wp:extent cx="6118225" cy="1118235"/>
          <wp:effectExtent l="0" t="0" r="0" b="0"/>
          <wp:docPr id="1030" name="image2.jpg" descr="Immagine che contiene testo, Carattere, schermata,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magine che contiene testo, Carattere, schermata,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8225" cy="1118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4A38"/>
    <w:multiLevelType w:val="hybridMultilevel"/>
    <w:tmpl w:val="DB3AFCE4"/>
    <w:lvl w:ilvl="0" w:tplc="04100011">
      <w:start w:val="1"/>
      <w:numFmt w:val="decimal"/>
      <w:lvlText w:val="%1)"/>
      <w:lvlJc w:val="left"/>
      <w:pPr>
        <w:ind w:left="718" w:hanging="360"/>
      </w:p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>
    <w:nsid w:val="07E46822"/>
    <w:multiLevelType w:val="multilevel"/>
    <w:tmpl w:val="79729C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12253751"/>
    <w:multiLevelType w:val="hybridMultilevel"/>
    <w:tmpl w:val="FA08A4A0"/>
    <w:lvl w:ilvl="0" w:tplc="222086B4">
      <w:numFmt w:val="bullet"/>
      <w:lvlText w:val="–"/>
      <w:lvlJc w:val="left"/>
      <w:pPr>
        <w:ind w:left="718" w:hanging="360"/>
      </w:pPr>
      <w:rPr>
        <w:rFonts w:ascii="Cambria" w:eastAsia="Times New Roman" w:hAnsi="Cambria" w:hint="default"/>
        <w:w w:val="113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>
    <w:nsid w:val="129753C1"/>
    <w:multiLevelType w:val="multilevel"/>
    <w:tmpl w:val="D612E7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E67C0F"/>
    <w:multiLevelType w:val="hybridMultilevel"/>
    <w:tmpl w:val="DB3AFCE4"/>
    <w:lvl w:ilvl="0" w:tplc="FFFFFFFF">
      <w:start w:val="1"/>
      <w:numFmt w:val="decimal"/>
      <w:lvlText w:val="%1)"/>
      <w:lvlJc w:val="left"/>
      <w:pPr>
        <w:ind w:left="718" w:hanging="360"/>
      </w:p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>
    <w:nsid w:val="1AB0014C"/>
    <w:multiLevelType w:val="multilevel"/>
    <w:tmpl w:val="B224A4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1FBA5842"/>
    <w:multiLevelType w:val="hybridMultilevel"/>
    <w:tmpl w:val="DB3AFCE4"/>
    <w:lvl w:ilvl="0" w:tplc="04100011">
      <w:start w:val="1"/>
      <w:numFmt w:val="decimal"/>
      <w:lvlText w:val="%1)"/>
      <w:lvlJc w:val="left"/>
      <w:pPr>
        <w:ind w:left="718" w:hanging="360"/>
      </w:p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>
    <w:nsid w:val="23466B7F"/>
    <w:multiLevelType w:val="hybridMultilevel"/>
    <w:tmpl w:val="DB3AFCE4"/>
    <w:lvl w:ilvl="0" w:tplc="FFFFFFFF">
      <w:start w:val="1"/>
      <w:numFmt w:val="decimal"/>
      <w:lvlText w:val="%1)"/>
      <w:lvlJc w:val="left"/>
      <w:pPr>
        <w:ind w:left="718" w:hanging="360"/>
      </w:p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8">
    <w:nsid w:val="367035CD"/>
    <w:multiLevelType w:val="multilevel"/>
    <w:tmpl w:val="79BC8F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49D47DEB"/>
    <w:multiLevelType w:val="hybridMultilevel"/>
    <w:tmpl w:val="DB3AFCE4"/>
    <w:lvl w:ilvl="0" w:tplc="FFFFFFFF">
      <w:start w:val="1"/>
      <w:numFmt w:val="decimal"/>
      <w:lvlText w:val="%1)"/>
      <w:lvlJc w:val="left"/>
      <w:pPr>
        <w:ind w:left="718" w:hanging="360"/>
      </w:p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0">
    <w:nsid w:val="4D4055C6"/>
    <w:multiLevelType w:val="hybridMultilevel"/>
    <w:tmpl w:val="DB3AFCE4"/>
    <w:lvl w:ilvl="0" w:tplc="FFFFFFFF">
      <w:start w:val="1"/>
      <w:numFmt w:val="decimal"/>
      <w:lvlText w:val="%1)"/>
      <w:lvlJc w:val="left"/>
      <w:pPr>
        <w:ind w:left="718" w:hanging="360"/>
      </w:p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1">
    <w:nsid w:val="4DD35BB4"/>
    <w:multiLevelType w:val="multilevel"/>
    <w:tmpl w:val="AE36B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D03B6D"/>
    <w:multiLevelType w:val="hybridMultilevel"/>
    <w:tmpl w:val="DB3AFCE4"/>
    <w:lvl w:ilvl="0" w:tplc="FFFFFFFF">
      <w:start w:val="1"/>
      <w:numFmt w:val="decimal"/>
      <w:lvlText w:val="%1)"/>
      <w:lvlJc w:val="left"/>
      <w:pPr>
        <w:ind w:left="718" w:hanging="360"/>
      </w:p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3">
    <w:nsid w:val="54D95780"/>
    <w:multiLevelType w:val="multilevel"/>
    <w:tmpl w:val="0988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56B92F44"/>
    <w:multiLevelType w:val="multilevel"/>
    <w:tmpl w:val="1BC49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057B5A"/>
    <w:multiLevelType w:val="multilevel"/>
    <w:tmpl w:val="FAD430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646E1F98"/>
    <w:multiLevelType w:val="multilevel"/>
    <w:tmpl w:val="931A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CD4892"/>
    <w:multiLevelType w:val="hybridMultilevel"/>
    <w:tmpl w:val="116497E4"/>
    <w:lvl w:ilvl="0" w:tplc="04100017">
      <w:start w:val="1"/>
      <w:numFmt w:val="lowerLetter"/>
      <w:lvlText w:val="%1)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8">
    <w:nsid w:val="6D756C3C"/>
    <w:multiLevelType w:val="hybridMultilevel"/>
    <w:tmpl w:val="DB3AFCE4"/>
    <w:lvl w:ilvl="0" w:tplc="FFFFFFFF">
      <w:start w:val="1"/>
      <w:numFmt w:val="decimal"/>
      <w:lvlText w:val="%1)"/>
      <w:lvlJc w:val="left"/>
      <w:pPr>
        <w:ind w:left="718" w:hanging="360"/>
      </w:p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5"/>
  </w:num>
  <w:num w:numId="2">
    <w:abstractNumId w:val="1"/>
  </w:num>
  <w:num w:numId="3">
    <w:abstractNumId w:val="15"/>
  </w:num>
  <w:num w:numId="4">
    <w:abstractNumId w:val="3"/>
  </w:num>
  <w:num w:numId="5">
    <w:abstractNumId w:val="8"/>
  </w:num>
  <w:num w:numId="6">
    <w:abstractNumId w:val="13"/>
  </w:num>
  <w:num w:numId="7">
    <w:abstractNumId w:val="2"/>
  </w:num>
  <w:num w:numId="8">
    <w:abstractNumId w:val="0"/>
  </w:num>
  <w:num w:numId="9">
    <w:abstractNumId w:val="4"/>
  </w:num>
  <w:num w:numId="10">
    <w:abstractNumId w:val="18"/>
  </w:num>
  <w:num w:numId="11">
    <w:abstractNumId w:val="12"/>
  </w:num>
  <w:num w:numId="12">
    <w:abstractNumId w:val="10"/>
  </w:num>
  <w:num w:numId="13">
    <w:abstractNumId w:val="7"/>
  </w:num>
  <w:num w:numId="14">
    <w:abstractNumId w:val="9"/>
  </w:num>
  <w:num w:numId="15">
    <w:abstractNumId w:val="6"/>
  </w:num>
  <w:num w:numId="16">
    <w:abstractNumId w:val="14"/>
  </w:num>
  <w:num w:numId="17">
    <w:abstractNumId w:val="16"/>
  </w:num>
  <w:num w:numId="18">
    <w:abstractNumId w:val="11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1D15"/>
    <w:rsid w:val="00071D15"/>
    <w:rsid w:val="00112E54"/>
    <w:rsid w:val="002D5A91"/>
    <w:rsid w:val="002E43A0"/>
    <w:rsid w:val="00513F44"/>
    <w:rsid w:val="00544522"/>
    <w:rsid w:val="00734CFA"/>
    <w:rsid w:val="0080045A"/>
    <w:rsid w:val="00AC2C30"/>
    <w:rsid w:val="00AE2085"/>
    <w:rsid w:val="00BE0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1D15"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itolo1">
    <w:name w:val="heading 1"/>
    <w:basedOn w:val="Normale"/>
    <w:uiPriority w:val="9"/>
    <w:qFormat/>
    <w:rsid w:val="00071D15"/>
    <w:pPr>
      <w:widowControl w:val="0"/>
      <w:autoSpaceDE w:val="0"/>
      <w:autoSpaceDN w:val="0"/>
      <w:spacing w:after="0" w:line="240" w:lineRule="auto"/>
      <w:ind w:left="654" w:right="1390"/>
      <w:jc w:val="center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071D15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071D1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071D1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071D15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071D1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071D15"/>
  </w:style>
  <w:style w:type="table" w:customStyle="1" w:styleId="TableNormal">
    <w:name w:val="Table Normal"/>
    <w:rsid w:val="00071D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071D1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071D1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sid w:val="00071D15"/>
    <w:rPr>
      <w:rFonts w:ascii="Palatino Linotype" w:hAnsi="Palatino Linotype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itolo2Carattere">
    <w:name w:val="Titolo 2 Carattere"/>
    <w:rsid w:val="00071D15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071D15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rsid w:val="00071D15"/>
    <w:rPr>
      <w:rFonts w:ascii="Cambria" w:hAnsi="Cambria" w:cs="Times New Roman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TableParagraph">
    <w:name w:val="Table Paragraph"/>
    <w:basedOn w:val="Normale"/>
    <w:rsid w:val="00071D15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1">
    <w:name w:val="Table Normal"/>
    <w:next w:val="TableNormal0"/>
    <w:qFormat/>
    <w:rsid w:val="00071D15"/>
    <w:pPr>
      <w:widowControl w:val="0"/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foelencoNumberBulletsListParagraph1Normale1FirstlevelbulletCitationListTableofcontentsnumberedListParagraphCharCharb1Number1SGLTextListParagraphnewListParagraph11ListParagraph2ColorfulList-Accent11List-1">
    <w:name w:val="Paragrafo elenco;Number Bullets;List Paragraph1;Normale1;First level bullet;Citation List;Table of contents numbered;List Paragraph Char Char;b1;Number_1;SGLText List Paragraph;new;List Paragraph11;List Paragraph2;Colorful List - Accent 11;列出段落;List-1"/>
    <w:basedOn w:val="Normale"/>
    <w:rsid w:val="00071D15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 w:cs="Times New Roman"/>
    </w:rPr>
  </w:style>
  <w:style w:type="character" w:styleId="Collegamentoipertestuale">
    <w:name w:val="Hyperlink"/>
    <w:qFormat/>
    <w:rsid w:val="00071D15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UnresolvedMention">
    <w:name w:val="Unresolved Mention"/>
    <w:qFormat/>
    <w:rsid w:val="00071D15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styleId="Grigliatabella">
    <w:name w:val="Table Grid"/>
    <w:basedOn w:val="Tabellanormale"/>
    <w:rsid w:val="00071D1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qFormat/>
    <w:rsid w:val="00071D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sid w:val="00071D15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qFormat/>
    <w:rsid w:val="00071D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sid w:val="00071D15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markedcontent">
    <w:name w:val="markedcontent"/>
    <w:rsid w:val="00071D15"/>
    <w:rPr>
      <w:w w:val="100"/>
      <w:position w:val="-1"/>
      <w:effect w:val="none"/>
      <w:vertAlign w:val="baseline"/>
      <w:cs w:val="0"/>
      <w:em w:val="none"/>
    </w:rPr>
  </w:style>
  <w:style w:type="paragraph" w:customStyle="1" w:styleId="Comma">
    <w:name w:val="Comma"/>
    <w:basedOn w:val="ParagrafoelencoNumberBulletsListParagraph1Normale1FirstlevelbulletCitationListTableofcontentsnumberedListParagraphCharCharb1Number1SGLTextListParagraphnewListParagraph11ListParagraph2ColorfulList-Accent11List-1"/>
    <w:rsid w:val="00071D15"/>
    <w:pPr>
      <w:widowControl/>
      <w:tabs>
        <w:tab w:val="num" w:pos="720"/>
      </w:tabs>
      <w:autoSpaceDE/>
      <w:autoSpaceDN/>
      <w:spacing w:after="240"/>
      <w:ind w:left="284" w:hanging="284"/>
      <w:contextualSpacing/>
    </w:pPr>
    <w:rPr>
      <w:rFonts w:ascii="Calibri" w:hAnsi="Calibri"/>
    </w:rPr>
  </w:style>
  <w:style w:type="character" w:customStyle="1" w:styleId="CommaCarattere">
    <w:name w:val="Comma Carattere"/>
    <w:rsid w:val="00071D15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ParagrafoelencoCarattereNumberBulletsCarattereListParagraph1CarattereNormale1CarattereFirstlevelbulletCarattereCitationListCarattereTableofcontentsnumberedCarattereListParagraphCharCharCarattereb1CarattereNumber1Carattere">
    <w:name w:val="Paragrafo elenco Carattere;Number Bullets Carattere;List Paragraph1 Carattere;Normale1 Carattere;First level bullet Carattere;Citation List Carattere;Table of contents numbered Carattere;List Paragraph Char Char Carattere;b1 Carattere;Number_1 Carattere"/>
    <w:rsid w:val="00071D15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sche3">
    <w:name w:val="sche_3"/>
    <w:rsid w:val="00071D15"/>
    <w:pPr>
      <w:widowControl w:val="0"/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/>
      <w:jc w:val="both"/>
      <w:textDirection w:val="btLr"/>
      <w:textAlignment w:val="top"/>
      <w:outlineLvl w:val="0"/>
    </w:pPr>
    <w:rPr>
      <w:rFonts w:ascii="Times New Roman" w:hAnsi="Times New Roman" w:cs="Times New Roman"/>
      <w:position w:val="-1"/>
      <w:lang w:val="en-US" w:eastAsia="en-US"/>
    </w:rPr>
  </w:style>
  <w:style w:type="paragraph" w:styleId="Sottotitolo">
    <w:name w:val="Subtitle"/>
    <w:basedOn w:val="normal"/>
    <w:next w:val="normal"/>
    <w:rsid w:val="00071D1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071D15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071D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rsid w:val="00071D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rsid w:val="00071D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rsid w:val="00071D15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AA24C7"/>
    <w:pPr>
      <w:ind w:left="720"/>
      <w:contextualSpacing/>
    </w:pPr>
  </w:style>
  <w:style w:type="table" w:customStyle="1" w:styleId="a4">
    <w:basedOn w:val="TableNormal0"/>
    <w:rsid w:val="00071D15"/>
    <w:pPr>
      <w:widowControl w:val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F44"/>
    <w:rPr>
      <w:rFonts w:ascii="Tahoma" w:hAnsi="Tahoma" w:cs="Tahoma"/>
      <w:position w:val="-1"/>
      <w:sz w:val="16"/>
      <w:szCs w:val="16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D5A91"/>
    <w:rPr>
      <w:rFonts w:ascii="Cambria" w:hAnsi="Cambria" w:cs="Cambria"/>
      <w:position w:val="-1"/>
      <w:sz w:val="24"/>
      <w:szCs w:val="24"/>
      <w:lang w:eastAsia="en-US"/>
    </w:rPr>
  </w:style>
  <w:style w:type="paragraph" w:styleId="NormaleWeb">
    <w:name w:val="Normal (Web)"/>
    <w:basedOn w:val="Normale"/>
    <w:uiPriority w:val="99"/>
    <w:unhideWhenUsed/>
    <w:rsid w:val="0080045A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4784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94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393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57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59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280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47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iscastelnovonemonti.edu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iscastelnovonemonti.edu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En25cfH3oPBoSVnQU3P009lecg==">CgMxLjAyCWguMzBqMHpsbDgAciExQmQxRll0dzh6QXM5dXJhcklPcmVSYzhNMV8xcG9veUk=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4316</Words>
  <Characters>24607</Characters>
  <Application>Microsoft Office Word</Application>
  <DocSecurity>0</DocSecurity>
  <Lines>205</Lines>
  <Paragraphs>57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Moro</Company>
  <LinksUpToDate>false</LinksUpToDate>
  <CharactersWithSpaces>28866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SAIS07200D - G. B. VICO</dc:creator>
  <cp:lastModifiedBy>assistente011</cp:lastModifiedBy>
  <cp:revision>3</cp:revision>
  <dcterms:created xsi:type="dcterms:W3CDTF">2024-11-11T08:55:00Z</dcterms:created>
  <dcterms:modified xsi:type="dcterms:W3CDTF">2024-11-12T10:28:00Z</dcterms:modified>
</cp:coreProperties>
</file>