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C7" w:rsidRPr="00C417C7" w:rsidRDefault="00C417C7" w:rsidP="00C417C7">
      <w:pPr>
        <w:jc w:val="right"/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• All’Albo on line dell’Istituto</w:t>
      </w:r>
    </w:p>
    <w:p w:rsidR="00C417C7" w:rsidRPr="00C417C7" w:rsidRDefault="00C417C7" w:rsidP="00C417C7">
      <w:pPr>
        <w:jc w:val="right"/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• Agli atti della Scuola</w:t>
      </w:r>
    </w:p>
    <w:p w:rsid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</w:p>
    <w:p w:rsidR="00C417C7" w:rsidRDefault="00C417C7" w:rsidP="00C417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C417C7">
        <w:rPr>
          <w:rFonts w:ascii="Times New Roman" w:hAnsi="Times New Roman" w:cs="Times New Roman"/>
          <w:b/>
          <w:bCs/>
          <w:sz w:val="24"/>
          <w:szCs w:val="24"/>
        </w:rPr>
        <w:t xml:space="preserve">DETERMINA A CONTRARRE PER AFFIDAMENTO </w:t>
      </w:r>
      <w:r w:rsidR="00DA3CF4">
        <w:rPr>
          <w:rFonts w:ascii="Times New Roman" w:hAnsi="Times New Roman" w:cs="Times New Roman"/>
          <w:b/>
          <w:bCs/>
          <w:sz w:val="24"/>
          <w:szCs w:val="24"/>
        </w:rPr>
        <w:t xml:space="preserve">ATTIVITA’ LABORATORIALE </w:t>
      </w:r>
      <w:r w:rsidR="00C8258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A5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2584">
        <w:rPr>
          <w:rFonts w:ascii="Times New Roman" w:hAnsi="Times New Roman" w:cs="Times New Roman"/>
          <w:b/>
          <w:bCs/>
          <w:sz w:val="24"/>
          <w:szCs w:val="24"/>
        </w:rPr>
        <w:t xml:space="preserve">FILM SCIENTIFICI </w:t>
      </w:r>
      <w:r w:rsidR="00F27B94">
        <w:rPr>
          <w:rFonts w:ascii="Times New Roman" w:hAnsi="Times New Roman" w:cs="Times New Roman"/>
          <w:b/>
          <w:bCs/>
          <w:sz w:val="24"/>
          <w:szCs w:val="24"/>
        </w:rPr>
        <w:t xml:space="preserve">– spettacoli di matematica </w:t>
      </w:r>
    </w:p>
    <w:p w:rsidR="00C82584" w:rsidRPr="00A349A5" w:rsidRDefault="00C82584" w:rsidP="00C417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CIG:</w:t>
      </w:r>
      <w:r w:rsidR="00F22B5B">
        <w:rPr>
          <w:rFonts w:ascii="Times New Roman" w:hAnsi="Times New Roman" w:cs="Times New Roman"/>
          <w:b/>
          <w:bCs/>
          <w:sz w:val="24"/>
          <w:szCs w:val="24"/>
        </w:rPr>
        <w:t>Z38316435E</w:t>
      </w:r>
    </w:p>
    <w:p w:rsidR="00C417C7" w:rsidRPr="00C417C7" w:rsidRDefault="00C417C7" w:rsidP="00C41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7C7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:rsid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521">
        <w:rPr>
          <w:rFonts w:ascii="Times New Roman" w:eastAsia="Times New Roman" w:hAnsi="Times New Roman" w:cs="Times New Roman"/>
          <w:bCs/>
          <w:sz w:val="24"/>
          <w:szCs w:val="24"/>
        </w:rPr>
        <w:t>VISTO il R.D 18 novembre 1923, n. 2440, concernente l’amministrazione del Patrimonio e la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4521">
        <w:rPr>
          <w:rFonts w:ascii="Times New Roman" w:eastAsia="Times New Roman" w:hAnsi="Times New Roman" w:cs="Times New Roman"/>
          <w:bCs/>
          <w:sz w:val="24"/>
          <w:szCs w:val="24"/>
        </w:rPr>
        <w:t>Contabilità Generale dello Stato ed il relativo regolamento approvato con R.D.23maggio 1924, n. 827 e ss.mm. ii.;</w:t>
      </w:r>
    </w:p>
    <w:p w:rsidR="00776390" w:rsidRPr="00C04521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521">
        <w:rPr>
          <w:rFonts w:ascii="Times New Roman" w:eastAsia="Times New Roman" w:hAnsi="Times New Roman" w:cs="Times New Roman"/>
          <w:bCs/>
          <w:sz w:val="24"/>
          <w:szCs w:val="24"/>
        </w:rPr>
        <w:t>VISTA la legge 7 agosto 1990, n.241 “Nuove norme in materia di procedimento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4521">
        <w:rPr>
          <w:rFonts w:ascii="Times New Roman" w:eastAsia="Times New Roman" w:hAnsi="Times New Roman" w:cs="Times New Roman"/>
          <w:bCs/>
          <w:sz w:val="24"/>
          <w:szCs w:val="24"/>
        </w:rPr>
        <w:t>amministrativo e di diritto di accesso ai documenti amministrativi” e ss.mm.ii.;</w:t>
      </w:r>
    </w:p>
    <w:p w:rsidR="00776390" w:rsidRPr="00C04521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521">
        <w:rPr>
          <w:rFonts w:ascii="Times New Roman" w:eastAsia="Times New Roman" w:hAnsi="Times New Roman" w:cs="Times New Roman"/>
          <w:bCs/>
          <w:sz w:val="24"/>
          <w:szCs w:val="24"/>
        </w:rPr>
        <w:t>VISTO il Decreto del Presidente della Repubblica 8 marzo 1999, n. 275, concernente il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4521">
        <w:rPr>
          <w:rFonts w:ascii="Times New Roman" w:eastAsia="Times New Roman" w:hAnsi="Times New Roman" w:cs="Times New Roman"/>
          <w:bCs/>
          <w:sz w:val="24"/>
          <w:szCs w:val="24"/>
        </w:rPr>
        <w:t>Regolamento recante norme in materia di autonomia delle Istituzioni Scolastiche, ai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4521">
        <w:rPr>
          <w:rFonts w:ascii="Times New Roman" w:eastAsia="Times New Roman" w:hAnsi="Times New Roman" w:cs="Times New Roman"/>
          <w:bCs/>
          <w:sz w:val="24"/>
          <w:szCs w:val="24"/>
        </w:rPr>
        <w:t>sensi della legge 15 marzo 1997, n.59;</w:t>
      </w:r>
    </w:p>
    <w:p w:rsidR="00776390" w:rsidRPr="00C04521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521">
        <w:rPr>
          <w:rFonts w:ascii="Times New Roman" w:eastAsia="Times New Roman" w:hAnsi="Times New Roman" w:cs="Times New Roman"/>
          <w:bCs/>
          <w:sz w:val="24"/>
          <w:szCs w:val="24"/>
        </w:rPr>
        <w:t>VISTA la legge 15 marzo 1997 n. 59, concernente “Delega al Governo per il conferimento difunzioni e compiti alle regioni ed enti locali, per la riforma della Pubblica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4521">
        <w:rPr>
          <w:rFonts w:ascii="Times New Roman" w:eastAsia="Times New Roman" w:hAnsi="Times New Roman" w:cs="Times New Roman"/>
          <w:bCs/>
          <w:sz w:val="24"/>
          <w:szCs w:val="24"/>
        </w:rPr>
        <w:t>Amministrazione e per la semplificazione amministrativa";</w:t>
      </w:r>
    </w:p>
    <w:p w:rsidR="00776390" w:rsidRP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17C7" w:rsidRP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VISTO il decreto legislativo 18 aprile 2016 n.50,ed in particolare il comma 2 dell’art.32, il quale prevede</w:t>
      </w:r>
      <w:r w:rsidR="00460F75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>che, prima dell’avvio delle procedure di affidamento dei contratti pubblici,le stazioni appaltanti, in</w:t>
      </w:r>
      <w:r w:rsidR="00460F75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>conformità ai propri ordinamenti, decretino o determinino di contrarre, individuando gli elementi essenziali</w:t>
      </w:r>
      <w:r w:rsidR="00460F75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>del contratto e i criteri di selezione degli operatori economici e delle offerte;</w:t>
      </w:r>
    </w:p>
    <w:p w:rsid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VISTO l’art.36 del dlgs n.50/2016;</w:t>
      </w:r>
    </w:p>
    <w:p w:rsidR="00A349A5" w:rsidRDefault="00A349A5" w:rsidP="00C417C7">
      <w:pPr>
        <w:rPr>
          <w:rFonts w:ascii="Times New Roman" w:hAnsi="Times New Roman" w:cs="Times New Roman"/>
          <w:sz w:val="24"/>
          <w:szCs w:val="24"/>
        </w:rPr>
      </w:pPr>
      <w:r w:rsidRPr="00A349A5">
        <w:rPr>
          <w:rFonts w:ascii="Times New Roman" w:hAnsi="Times New Roman" w:cs="Times New Roman"/>
          <w:sz w:val="24"/>
          <w:szCs w:val="24"/>
        </w:rPr>
        <w:t>VISTO il D.Lgs. 56/2017 “Disposizioni integrative e correttive al decreto legislativo 18 aprile 2016, n. 50”;</w:t>
      </w:r>
    </w:p>
    <w:p w:rsidR="00A349A5" w:rsidRDefault="00A349A5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VISTE l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e Linee Guida n. 4, aggiornate al D. Lgs. n. 56/2017, di attuazione del D. Lgs. n.50/2016, approvate dal Consiglio dell’Autorità con delibera n. 206, del 1marzo 2018, recanti “Procedure per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l’affidamento dei contratti pubblici di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importo inferiore alle soglie di rilevanza comunitaria, indagini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di mercato e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formazione e gestione degli elenchi di operatori economici”;</w:t>
      </w:r>
    </w:p>
    <w:p w:rsidR="00A349A5" w:rsidRPr="00A349A5" w:rsidRDefault="00A349A5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17C7" w:rsidRP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VISTO il Regolamento di Contabilità D. I. n. 129 del 28/08/2018 Regolamento recante istruzioni generali</w:t>
      </w:r>
      <w:r w:rsidR="00460F75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>sulla gestione amministrativo-contabile delle istituzioni scolastiche, ai sensi dell'articolo 1, comma 143,della legge 13 luglio 2015, n. 107;</w:t>
      </w:r>
    </w:p>
    <w:p w:rsid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VISTO il Decreto Legislativo 30 marzo 2001, n. 165 recante “Norme generali sull’ordinamento del lavoroalle dipendenze della Amministrazioni Pubbliche” e ss.mm.ii. ;</w:t>
      </w:r>
    </w:p>
    <w:p w:rsidR="00A349A5" w:rsidRPr="00C417C7" w:rsidRDefault="00A349A5" w:rsidP="00C417C7">
      <w:pPr>
        <w:rPr>
          <w:rFonts w:ascii="Times New Roman" w:hAnsi="Times New Roman" w:cs="Times New Roman"/>
          <w:sz w:val="24"/>
          <w:szCs w:val="24"/>
        </w:rPr>
      </w:pPr>
      <w:r w:rsidRPr="00A349A5">
        <w:rPr>
          <w:rFonts w:ascii="Times New Roman" w:hAnsi="Times New Roman" w:cs="Times New Roman"/>
          <w:sz w:val="24"/>
          <w:szCs w:val="24"/>
        </w:rPr>
        <w:t>VISTA la Legge n. 136/2010 recante il “Piano straordinario contro le mafie, nonché delega al Governo in materia di normativa antimafia”, in particolare l’art. 3 che contiene le norme in tema di tracciabilità dei movimenti finanziari relativi a rapporti contrattuali o di finanziamento in ambito pubblico;</w:t>
      </w:r>
    </w:p>
    <w:p w:rsidR="00C417C7" w:rsidRP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CONSIDERATA la necessità dell’Amministrazione scolastica di dotarsi della fornitura del servizio in</w:t>
      </w:r>
      <w:r w:rsidR="00460F75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>oggetto;</w:t>
      </w:r>
    </w:p>
    <w:p w:rsidR="00C417C7" w:rsidRP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VISTA la Delibera del Consiglio d’Istituto n.</w:t>
      </w:r>
      <w:r>
        <w:rPr>
          <w:rFonts w:ascii="Times New Roman" w:hAnsi="Times New Roman" w:cs="Times New Roman"/>
          <w:sz w:val="24"/>
          <w:szCs w:val="24"/>
        </w:rPr>
        <w:t>119</w:t>
      </w:r>
      <w:r w:rsidRPr="00C417C7">
        <w:rPr>
          <w:rFonts w:ascii="Times New Roman" w:hAnsi="Times New Roman" w:cs="Times New Roman"/>
          <w:sz w:val="24"/>
          <w:szCs w:val="24"/>
        </w:rPr>
        <w:t xml:space="preserve"> del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17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417C7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417C7">
        <w:rPr>
          <w:rFonts w:ascii="Times New Roman" w:hAnsi="Times New Roman" w:cs="Times New Roman"/>
          <w:sz w:val="24"/>
          <w:szCs w:val="24"/>
        </w:rPr>
        <w:t xml:space="preserve"> con la quale è stato rivisto il</w:t>
      </w:r>
      <w:r w:rsidR="00460F75">
        <w:rPr>
          <w:rFonts w:ascii="Times New Roman" w:hAnsi="Times New Roman" w:cs="Times New Roman"/>
          <w:sz w:val="24"/>
          <w:szCs w:val="24"/>
        </w:rPr>
        <w:t xml:space="preserve">  P</w:t>
      </w:r>
      <w:r w:rsidRPr="00C417C7">
        <w:rPr>
          <w:rFonts w:ascii="Times New Roman" w:hAnsi="Times New Roman" w:cs="Times New Roman"/>
          <w:sz w:val="24"/>
          <w:szCs w:val="24"/>
        </w:rPr>
        <w:t>TOF</w:t>
      </w:r>
      <w:r w:rsidR="00460F75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 xml:space="preserve">2019/2022 per </w:t>
      </w:r>
      <w:r>
        <w:rPr>
          <w:rFonts w:ascii="Times New Roman" w:hAnsi="Times New Roman" w:cs="Times New Roman"/>
          <w:sz w:val="24"/>
          <w:szCs w:val="24"/>
        </w:rPr>
        <w:t>l’a.s. 2020/2021</w:t>
      </w:r>
      <w:r w:rsidRPr="00C417C7">
        <w:rPr>
          <w:rFonts w:ascii="Times New Roman" w:hAnsi="Times New Roman" w:cs="Times New Roman"/>
          <w:sz w:val="24"/>
          <w:szCs w:val="24"/>
        </w:rPr>
        <w:t>;</w:t>
      </w:r>
    </w:p>
    <w:p w:rsid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 xml:space="preserve">VISTO il contributo che le famiglie versano per l’attività in oggetto che sarà destinato </w:t>
      </w:r>
      <w:r w:rsidRPr="00460F75">
        <w:rPr>
          <w:rFonts w:ascii="Times New Roman" w:hAnsi="Times New Roman" w:cs="Times New Roman"/>
          <w:sz w:val="24"/>
          <w:szCs w:val="24"/>
        </w:rPr>
        <w:t xml:space="preserve">al </w:t>
      </w:r>
      <w:r w:rsidR="00460F75">
        <w:rPr>
          <w:rFonts w:ascii="Times New Roman" w:hAnsi="Times New Roman" w:cs="Times New Roman"/>
          <w:sz w:val="24"/>
          <w:szCs w:val="24"/>
        </w:rPr>
        <w:t>P.2.9</w:t>
      </w:r>
      <w:r w:rsidRPr="00460F75">
        <w:rPr>
          <w:rFonts w:ascii="Times New Roman" w:hAnsi="Times New Roman" w:cs="Times New Roman"/>
          <w:sz w:val="24"/>
          <w:szCs w:val="24"/>
        </w:rPr>
        <w:t xml:space="preserve"> del Programma Annuale 202</w:t>
      </w:r>
      <w:r w:rsidR="00580A8C" w:rsidRPr="00460F75">
        <w:rPr>
          <w:rFonts w:ascii="Times New Roman" w:hAnsi="Times New Roman" w:cs="Times New Roman"/>
          <w:sz w:val="24"/>
          <w:szCs w:val="24"/>
        </w:rPr>
        <w:t>1</w:t>
      </w:r>
      <w:r w:rsidRPr="00460F75">
        <w:rPr>
          <w:rFonts w:ascii="Times New Roman" w:hAnsi="Times New Roman" w:cs="Times New Roman"/>
          <w:sz w:val="24"/>
          <w:szCs w:val="24"/>
        </w:rPr>
        <w:t>;</w:t>
      </w:r>
    </w:p>
    <w:p w:rsidR="00A349A5" w:rsidRDefault="00A349A5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ACCERTATA la possibilità, ai sensi dei decreti sopracitati, di ricorrere alla procedura</w:t>
      </w:r>
      <w:r w:rsidR="00F22B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ordinaria mediante affidamento diretto;</w:t>
      </w:r>
    </w:p>
    <w:p w:rsidR="00A349A5" w:rsidRDefault="00A349A5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349A5" w:rsidRPr="00776390" w:rsidRDefault="00A349A5" w:rsidP="00776390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CONSIDERATO che la realizzazione di tale attività è stata prevista dal PTOF e che i progetti di</w:t>
      </w:r>
      <w:r w:rsidR="00C82584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 xml:space="preserve">potenziamento </w:t>
      </w:r>
      <w:r w:rsidR="005F7125" w:rsidRPr="005F7125">
        <w:rPr>
          <w:rFonts w:ascii="Times New Roman" w:hAnsi="Times New Roman" w:cs="Times New Roman"/>
          <w:sz w:val="24"/>
          <w:szCs w:val="24"/>
        </w:rPr>
        <w:t xml:space="preserve">degli strumenti didattico - laboratoriali necessari a migliorare la formazione </w:t>
      </w:r>
      <w:r w:rsidRPr="00C417C7">
        <w:rPr>
          <w:rFonts w:ascii="Times New Roman" w:hAnsi="Times New Roman" w:cs="Times New Roman"/>
          <w:sz w:val="24"/>
          <w:szCs w:val="24"/>
        </w:rPr>
        <w:t>sono caratterizzanti l’Istituto comprensivo e che pertanto la loro</w:t>
      </w:r>
      <w:r w:rsidR="00460F75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>attivazione si rende necessaria e urgente;</w:t>
      </w:r>
    </w:p>
    <w:p w:rsidR="00A349A5" w:rsidRDefault="00A349A5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VISTO l’art. 1 comma 512 della Legge n. 208 del 2015 successivamente modificato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dall'art. 1,comma 419, legge n. 232 del 2016 che prevede anche per le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istituzioni scolastiche l’obbligo di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avvalersi delle convenzioni CONSIP per glia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cquisti;</w:t>
      </w:r>
    </w:p>
    <w:p w:rsidR="00A349A5" w:rsidRPr="00620F5A" w:rsidRDefault="00A349A5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A349A5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CONSIDERATO che alla data odierna non sono presenti convenzioni attive per la fornitura in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oggetto che si intende acquisire;</w:t>
      </w:r>
    </w:p>
    <w:p w:rsidR="00776390" w:rsidRDefault="00776390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 xml:space="preserve">VISTA l’assegnazione di </w:t>
      </w:r>
      <w:r w:rsidRPr="00460F75">
        <w:rPr>
          <w:rFonts w:ascii="Times New Roman" w:eastAsia="Times New Roman" w:hAnsi="Times New Roman" w:cs="Times New Roman"/>
          <w:bCs/>
          <w:sz w:val="24"/>
          <w:szCs w:val="24"/>
        </w:rPr>
        <w:t>CIG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2B5B">
        <w:rPr>
          <w:rFonts w:ascii="Times New Roman" w:hAnsi="Times New Roman" w:cs="Times New Roman"/>
          <w:b/>
          <w:bCs/>
          <w:sz w:val="24"/>
          <w:szCs w:val="24"/>
        </w:rPr>
        <w:t>Z38316435E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 xml:space="preserve"> acquisito da questa stazione appaltante;</w:t>
      </w:r>
    </w:p>
    <w:p w:rsidR="00776390" w:rsidRPr="00620F5A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 xml:space="preserve">VISTA la disponibilità da parte </w:t>
      </w:r>
      <w:r w:rsidR="00DE70B1">
        <w:rPr>
          <w:rFonts w:ascii="Times New Roman" w:eastAsia="Times New Roman" w:hAnsi="Times New Roman" w:cs="Times New Roman"/>
          <w:bCs/>
          <w:sz w:val="24"/>
          <w:szCs w:val="24"/>
        </w:rPr>
        <w:t>dell’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C09AD" w:rsidRPr="00460F75">
        <w:rPr>
          <w:rFonts w:ascii="Times New Roman" w:eastAsia="Times New Roman" w:hAnsi="Times New Roman" w:cs="Times New Roman"/>
          <w:bCs/>
          <w:sz w:val="24"/>
          <w:szCs w:val="24"/>
        </w:rPr>
        <w:t>Associazione</w:t>
      </w:r>
      <w:r w:rsid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 Promozione sociale </w:t>
      </w:r>
      <w:r w:rsid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2584">
        <w:rPr>
          <w:rFonts w:ascii="Times New Roman" w:eastAsia="Times New Roman" w:hAnsi="Times New Roman" w:cs="Times New Roman"/>
          <w:bCs/>
          <w:sz w:val="24"/>
          <w:szCs w:val="24"/>
        </w:rPr>
        <w:t xml:space="preserve">FEEL CENTER S.r.l. Via degli  Scipioni 267 – 00192 Roma </w:t>
      </w:r>
      <w:r w:rsidRP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 a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 xml:space="preserve"> provvedere al servizio in oggetto;</w:t>
      </w:r>
    </w:p>
    <w:p w:rsidR="00776390" w:rsidRPr="00620F5A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VERIFICATA la serietà e competenza professionale del personale impiegato dalla suddetta</w:t>
      </w:r>
      <w:r w:rsid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>Società;</w:t>
      </w:r>
    </w:p>
    <w:p w:rsidR="00776390" w:rsidRPr="00620F5A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CONSIDERATO che per la realizzazione del progetto in oggetto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967E07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="00DE70B1" w:rsidRP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70B1" w:rsidRPr="00460F75">
        <w:rPr>
          <w:rFonts w:ascii="Times New Roman" w:eastAsia="Times New Roman" w:hAnsi="Times New Roman" w:cs="Times New Roman"/>
          <w:bCs/>
          <w:sz w:val="24"/>
          <w:szCs w:val="24"/>
        </w:rPr>
        <w:t>Associazione</w:t>
      </w:r>
      <w:r w:rsid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 Promozione sociale  </w:t>
      </w:r>
      <w:r w:rsidR="00C82584">
        <w:rPr>
          <w:rFonts w:ascii="Times New Roman" w:eastAsia="Times New Roman" w:hAnsi="Times New Roman" w:cs="Times New Roman"/>
          <w:bCs/>
          <w:sz w:val="24"/>
          <w:szCs w:val="24"/>
        </w:rPr>
        <w:t xml:space="preserve">FEEL CENTER S.r.l. Via degli  Scipioni 267 – 00192 Roma </w:t>
      </w:r>
      <w:r w:rsidR="00C82584" w:rsidRP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70B1" w:rsidRP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 xml:space="preserve">ha richiesto un importo </w:t>
      </w:r>
      <w:r w:rsidR="003C09AD">
        <w:rPr>
          <w:rFonts w:ascii="Times New Roman" w:eastAsia="Times New Roman" w:hAnsi="Times New Roman" w:cs="Times New Roman"/>
          <w:bCs/>
          <w:sz w:val="24"/>
          <w:szCs w:val="24"/>
        </w:rPr>
        <w:t xml:space="preserve">ad alunno </w:t>
      </w: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 xml:space="preserve">di </w:t>
      </w:r>
      <w:r w:rsidRP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€ </w:t>
      </w:r>
      <w:r w:rsidR="003C09AD" w:rsidRPr="00F22B5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22B5B">
        <w:rPr>
          <w:rFonts w:ascii="Times New Roman" w:eastAsia="Times New Roman" w:hAnsi="Times New Roman" w:cs="Times New Roman"/>
          <w:bCs/>
          <w:sz w:val="24"/>
          <w:szCs w:val="24"/>
        </w:rPr>
        <w:t xml:space="preserve">,00 (IVA </w:t>
      </w:r>
      <w:r w:rsidR="00F22B5B">
        <w:rPr>
          <w:rFonts w:ascii="Times New Roman" w:eastAsia="Times New Roman" w:hAnsi="Times New Roman" w:cs="Times New Roman"/>
          <w:bCs/>
          <w:sz w:val="24"/>
          <w:szCs w:val="24"/>
        </w:rPr>
        <w:t>inclusa</w:t>
      </w:r>
      <w:r w:rsidRPr="00DE70B1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776390" w:rsidRPr="00620F5A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CONSIDERATO che l’importo complessivo </w:t>
      </w:r>
      <w:r w:rsidR="003C09AD" w:rsidRP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stimato </w:t>
      </w:r>
      <w:r w:rsidRP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di € </w:t>
      </w:r>
      <w:r w:rsidR="00DE70B1">
        <w:rPr>
          <w:rFonts w:ascii="Times New Roman" w:eastAsia="Times New Roman" w:hAnsi="Times New Roman" w:cs="Times New Roman"/>
          <w:bCs/>
          <w:sz w:val="24"/>
          <w:szCs w:val="24"/>
        </w:rPr>
        <w:t>3,</w:t>
      </w:r>
      <w:r w:rsidRPr="00DE70B1">
        <w:rPr>
          <w:rFonts w:ascii="Times New Roman" w:eastAsia="Times New Roman" w:hAnsi="Times New Roman" w:cs="Times New Roman"/>
          <w:bCs/>
          <w:sz w:val="24"/>
          <w:szCs w:val="24"/>
        </w:rPr>
        <w:t>00 (IVA esente) non supera il limite di spesa di 10.000,00 euro fissato dall’art. 45 c. 2 lett. a) del Decreto n. 129/2018;</w:t>
      </w:r>
    </w:p>
    <w:p w:rsidR="00776390" w:rsidRPr="00620F5A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Pr="00967E07" w:rsidRDefault="00776390" w:rsidP="00776390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F5A">
        <w:rPr>
          <w:rFonts w:ascii="Times New Roman" w:eastAsia="Times New Roman" w:hAnsi="Times New Roman" w:cs="Times New Roman"/>
          <w:bCs/>
          <w:sz w:val="24"/>
          <w:szCs w:val="24"/>
        </w:rPr>
        <w:t xml:space="preserve">VISTO </w:t>
      </w:r>
      <w:r w:rsidR="00967E07" w:rsidRPr="00967E07">
        <w:rPr>
          <w:sz w:val="24"/>
          <w:szCs w:val="24"/>
        </w:rPr>
        <w:t xml:space="preserve">che l'associazione non è soggetta alla normativa concernente il Documento Unico di Regolarità Contributiva (D.U.R.C.) </w:t>
      </w:r>
    </w:p>
    <w:p w:rsidR="00776390" w:rsidRDefault="00776390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6390" w:rsidRDefault="00776390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349A5" w:rsidRDefault="00776390" w:rsidP="00A349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A349A5" w:rsidRPr="00620F5A">
        <w:rPr>
          <w:rFonts w:ascii="Times New Roman" w:eastAsia="Times New Roman" w:hAnsi="Times New Roman" w:cs="Times New Roman"/>
          <w:bCs/>
          <w:sz w:val="24"/>
          <w:szCs w:val="24"/>
        </w:rPr>
        <w:t>utto quanto sopra, visto, rilevato e considerato, che costituisceparte integrante del presente</w:t>
      </w:r>
      <w:r w:rsid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349A5" w:rsidRPr="00620F5A">
        <w:rPr>
          <w:rFonts w:ascii="Times New Roman" w:eastAsia="Times New Roman" w:hAnsi="Times New Roman" w:cs="Times New Roman"/>
          <w:bCs/>
          <w:sz w:val="24"/>
          <w:szCs w:val="24"/>
        </w:rPr>
        <w:t>provvedimento</w:t>
      </w:r>
    </w:p>
    <w:p w:rsidR="00C417C7" w:rsidRP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</w:p>
    <w:p w:rsidR="0084052A" w:rsidRPr="00C417C7" w:rsidRDefault="00C417C7" w:rsidP="00C41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7C7">
        <w:rPr>
          <w:rFonts w:ascii="Times New Roman" w:hAnsi="Times New Roman" w:cs="Times New Roman"/>
          <w:b/>
          <w:bCs/>
          <w:sz w:val="24"/>
          <w:szCs w:val="24"/>
        </w:rPr>
        <w:t>D E T E R M I N A</w:t>
      </w:r>
    </w:p>
    <w:p w:rsid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</w:p>
    <w:p w:rsidR="00C417C7" w:rsidRP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Art.1 Le premesse fanno parte integrante e sostanziale del presente provvedimento;</w:t>
      </w:r>
    </w:p>
    <w:p w:rsidR="00C417C7" w:rsidRP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 xml:space="preserve">Art. 2 Di procedere mediante affidamento diretto, ai sensi delle norme dichiarate, per la fornitura delservizio in oggetto all’operatore economico </w:t>
      </w:r>
      <w:r w:rsidR="00967E07">
        <w:rPr>
          <w:rFonts w:ascii="Times New Roman" w:eastAsia="Times New Roman" w:hAnsi="Times New Roman" w:cs="Times New Roman"/>
          <w:bCs/>
          <w:sz w:val="24"/>
          <w:szCs w:val="24"/>
        </w:rPr>
        <w:t>l’</w:t>
      </w:r>
      <w:r w:rsidR="00967E07" w:rsidRPr="00DE70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7E07" w:rsidRPr="00460F75">
        <w:rPr>
          <w:rFonts w:ascii="Times New Roman" w:eastAsia="Times New Roman" w:hAnsi="Times New Roman" w:cs="Times New Roman"/>
          <w:bCs/>
          <w:sz w:val="24"/>
          <w:szCs w:val="24"/>
        </w:rPr>
        <w:t>Associazione</w:t>
      </w:r>
      <w:r w:rsidR="00967E07">
        <w:rPr>
          <w:rFonts w:ascii="Times New Roman" w:eastAsia="Times New Roman" w:hAnsi="Times New Roman" w:cs="Times New Roman"/>
          <w:bCs/>
          <w:sz w:val="24"/>
          <w:szCs w:val="24"/>
        </w:rPr>
        <w:t xml:space="preserve"> Promozione sociale  </w:t>
      </w:r>
      <w:r w:rsidR="00C82584">
        <w:rPr>
          <w:rFonts w:ascii="Times New Roman" w:eastAsia="Times New Roman" w:hAnsi="Times New Roman" w:cs="Times New Roman"/>
          <w:bCs/>
          <w:sz w:val="24"/>
          <w:szCs w:val="24"/>
        </w:rPr>
        <w:t xml:space="preserve">FEEL CENTER S.r.l. Via degli  Scipioni 267 – 00192 Roma </w:t>
      </w:r>
      <w:r w:rsidR="00C82584" w:rsidRPr="00460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 xml:space="preserve">per una spesa massima complessiva stimata in euro </w:t>
      </w:r>
      <w:r w:rsidRPr="00F22B5B">
        <w:rPr>
          <w:rFonts w:ascii="Times New Roman" w:hAnsi="Times New Roman" w:cs="Times New Roman"/>
          <w:sz w:val="24"/>
          <w:szCs w:val="24"/>
          <w:highlight w:val="yellow"/>
        </w:rPr>
        <w:t xml:space="preserve">€ </w:t>
      </w:r>
      <w:r w:rsidR="00967E07" w:rsidRPr="00F22B5B">
        <w:rPr>
          <w:rFonts w:ascii="Times New Roman" w:hAnsi="Times New Roman" w:cs="Times New Roman"/>
          <w:sz w:val="24"/>
          <w:szCs w:val="24"/>
          <w:highlight w:val="yellow"/>
        </w:rPr>
        <w:t xml:space="preserve">3,00 </w:t>
      </w:r>
      <w:r w:rsidRPr="00F22B5B">
        <w:rPr>
          <w:rFonts w:ascii="Times New Roman" w:hAnsi="Times New Roman" w:cs="Times New Roman"/>
          <w:sz w:val="24"/>
          <w:szCs w:val="24"/>
          <w:highlight w:val="yellow"/>
        </w:rPr>
        <w:t>comprensivo di IVA</w:t>
      </w:r>
      <w:r w:rsidRPr="00C417C7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967E0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 xml:space="preserve">Art.3 Di impegnare per la finalità di cui sopra, la somma complessiva stimata </w:t>
      </w:r>
    </w:p>
    <w:p w:rsidR="00C417C7" w:rsidRP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967E07">
        <w:rPr>
          <w:rFonts w:ascii="Times New Roman" w:hAnsi="Times New Roman" w:cs="Times New Roman"/>
          <w:sz w:val="24"/>
          <w:szCs w:val="24"/>
        </w:rPr>
        <w:t>€</w:t>
      </w:r>
      <w:r w:rsidR="004873A5">
        <w:rPr>
          <w:rFonts w:ascii="Times New Roman" w:hAnsi="Times New Roman" w:cs="Times New Roman"/>
          <w:sz w:val="24"/>
          <w:szCs w:val="24"/>
        </w:rPr>
        <w:t xml:space="preserve"> </w:t>
      </w:r>
      <w:r w:rsidR="00967E07" w:rsidRPr="00C82584">
        <w:rPr>
          <w:rFonts w:ascii="Times New Roman" w:hAnsi="Times New Roman" w:cs="Times New Roman"/>
          <w:sz w:val="24"/>
          <w:szCs w:val="24"/>
          <w:highlight w:val="yellow"/>
        </w:rPr>
        <w:t>1402,00</w:t>
      </w:r>
      <w:r w:rsidR="00967E07">
        <w:rPr>
          <w:rFonts w:ascii="Times New Roman" w:hAnsi="Times New Roman" w:cs="Times New Roman"/>
          <w:sz w:val="24"/>
          <w:szCs w:val="24"/>
        </w:rPr>
        <w:t xml:space="preserve">  </w:t>
      </w:r>
      <w:r w:rsidRPr="00967E07">
        <w:rPr>
          <w:rFonts w:ascii="Times New Roman" w:hAnsi="Times New Roman" w:cs="Times New Roman"/>
          <w:sz w:val="24"/>
          <w:szCs w:val="24"/>
        </w:rPr>
        <w:t>comprensivo</w:t>
      </w:r>
      <w:r w:rsidR="00967E07" w:rsidRPr="00967E07">
        <w:rPr>
          <w:rFonts w:ascii="Times New Roman" w:hAnsi="Times New Roman" w:cs="Times New Roman"/>
          <w:sz w:val="24"/>
          <w:szCs w:val="24"/>
        </w:rPr>
        <w:t xml:space="preserve"> </w:t>
      </w:r>
      <w:r w:rsidRPr="00967E07">
        <w:rPr>
          <w:rFonts w:ascii="Times New Roman" w:hAnsi="Times New Roman" w:cs="Times New Roman"/>
          <w:sz w:val="24"/>
          <w:szCs w:val="24"/>
        </w:rPr>
        <w:t>di IVA a carico del Programma Annuale 202</w:t>
      </w:r>
      <w:r w:rsidR="00967E07" w:rsidRPr="00967E07">
        <w:rPr>
          <w:rFonts w:ascii="Times New Roman" w:hAnsi="Times New Roman" w:cs="Times New Roman"/>
          <w:sz w:val="24"/>
          <w:szCs w:val="24"/>
        </w:rPr>
        <w:t xml:space="preserve">1 </w:t>
      </w:r>
      <w:r w:rsidRPr="00967E07">
        <w:rPr>
          <w:rFonts w:ascii="Times New Roman" w:hAnsi="Times New Roman" w:cs="Times New Roman"/>
          <w:sz w:val="24"/>
          <w:szCs w:val="24"/>
        </w:rPr>
        <w:t xml:space="preserve">sull’aggregato </w:t>
      </w:r>
      <w:r w:rsidR="00967E07">
        <w:rPr>
          <w:rFonts w:ascii="Times New Roman" w:hAnsi="Times New Roman" w:cs="Times New Roman"/>
          <w:sz w:val="24"/>
          <w:szCs w:val="24"/>
        </w:rPr>
        <w:t>P.2.9.</w:t>
      </w:r>
      <w:r w:rsidRPr="00967E07">
        <w:rPr>
          <w:rFonts w:ascii="Times New Roman" w:hAnsi="Times New Roman" w:cs="Times New Roman"/>
          <w:sz w:val="24"/>
          <w:szCs w:val="24"/>
        </w:rPr>
        <w:t xml:space="preserve"> Progetti in ambito “Umanistico e sociale”;</w:t>
      </w:r>
    </w:p>
    <w:p w:rsidR="00C417C7" w:rsidRP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Art. 4 Di dare seguito agli adempimenti previsti dalla vigente normativa per la conclusione del contratto edi informare la Ditta aggiudicataria sull’obbligo di assumere gli obblighi di tracciabilità dei flussi finanziari</w:t>
      </w:r>
      <w:r w:rsidR="00967E07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>di cui alla L. 136/2010;</w:t>
      </w:r>
    </w:p>
    <w:p w:rsidR="00C417C7" w:rsidRDefault="00C417C7" w:rsidP="00C417C7">
      <w:pPr>
        <w:rPr>
          <w:rFonts w:ascii="Times New Roman" w:hAnsi="Times New Roman" w:cs="Times New Roman"/>
          <w:sz w:val="24"/>
          <w:szCs w:val="24"/>
        </w:rPr>
      </w:pPr>
      <w:r w:rsidRPr="00C417C7">
        <w:rPr>
          <w:rFonts w:ascii="Times New Roman" w:hAnsi="Times New Roman" w:cs="Times New Roman"/>
          <w:sz w:val="24"/>
          <w:szCs w:val="24"/>
        </w:rPr>
        <w:t>Art.5 Ai sensi dell’art. 31 del decreto legislativo 18 aprile 2016, n. 50 e dell’art. 5 della Legge 7agosto 1990, n. 241, viene individuato il Responsabile Unico del Procedimento lo scrivente</w:t>
      </w:r>
      <w:r w:rsidR="00C82584">
        <w:rPr>
          <w:rFonts w:ascii="Times New Roman" w:hAnsi="Times New Roman" w:cs="Times New Roman"/>
          <w:sz w:val="24"/>
          <w:szCs w:val="24"/>
        </w:rPr>
        <w:t xml:space="preserve"> </w:t>
      </w:r>
      <w:r w:rsidRPr="00C417C7">
        <w:rPr>
          <w:rFonts w:ascii="Times New Roman" w:hAnsi="Times New Roman" w:cs="Times New Roman"/>
          <w:sz w:val="24"/>
          <w:szCs w:val="24"/>
        </w:rPr>
        <w:t xml:space="preserve">Dirigente Scolastico pro tempore </w:t>
      </w:r>
      <w:r w:rsidR="000C3C4E">
        <w:rPr>
          <w:rFonts w:ascii="Times New Roman" w:hAnsi="Times New Roman" w:cs="Times New Roman"/>
          <w:sz w:val="24"/>
          <w:szCs w:val="24"/>
        </w:rPr>
        <w:t>Dott.ssa Gabriella Di Marco</w:t>
      </w:r>
      <w:r w:rsidR="004873A5">
        <w:rPr>
          <w:rFonts w:ascii="Times New Roman" w:hAnsi="Times New Roman" w:cs="Times New Roman"/>
          <w:sz w:val="24"/>
          <w:szCs w:val="24"/>
        </w:rPr>
        <w:t>.</w:t>
      </w:r>
    </w:p>
    <w:p w:rsidR="004873A5" w:rsidRPr="00852CD4" w:rsidRDefault="004873A5" w:rsidP="004873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2CD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Il presente provvedimento è assegnato al DSGA per la regolare esecuzione e quale responsabiledella procedura amministrativa.</w:t>
      </w:r>
    </w:p>
    <w:p w:rsidR="004873A5" w:rsidRDefault="00056B67" w:rsidP="004873A5">
      <w:pPr>
        <w:tabs>
          <w:tab w:val="decimal" w:pos="283"/>
          <w:tab w:val="decimal" w:pos="850"/>
        </w:tabs>
        <w:spacing w:after="0" w:line="240" w:lineRule="atLeast"/>
        <w:ind w:right="-5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Il </w:t>
      </w:r>
      <w:r w:rsidR="004873A5" w:rsidRPr="00852CD4">
        <w:rPr>
          <w:rFonts w:ascii="Times New Roman" w:eastAsia="Times New Roman" w:hAnsi="Times New Roman" w:cs="Times New Roman"/>
          <w:bCs/>
          <w:sz w:val="24"/>
          <w:szCs w:val="24"/>
        </w:rPr>
        <w:t>presente provvedimento è pubblicato sul sito web d’Istituto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4873A5" w:rsidRPr="00EA421D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</w:rPr>
          <w:t>http://icleonardodavinciguidonia.edu.it/</w:t>
        </w:r>
      </w:hyperlink>
      <w:r w:rsidR="004873A5" w:rsidRPr="00852CD4">
        <w:rPr>
          <w:rFonts w:ascii="Times New Roman" w:eastAsia="Times New Roman" w:hAnsi="Times New Roman" w:cs="Times New Roman"/>
          <w:bCs/>
          <w:sz w:val="24"/>
          <w:szCs w:val="24"/>
        </w:rPr>
        <w:t>nella sezione</w:t>
      </w:r>
      <w:r w:rsidR="00967E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73A5" w:rsidRPr="00852CD4">
        <w:rPr>
          <w:rFonts w:ascii="Times New Roman" w:eastAsia="Times New Roman" w:hAnsi="Times New Roman" w:cs="Times New Roman"/>
          <w:bCs/>
          <w:sz w:val="24"/>
          <w:szCs w:val="24"/>
        </w:rPr>
        <w:t>Albo Pretorio.</w:t>
      </w:r>
      <w:r w:rsidR="004873A5" w:rsidRPr="00852CD4">
        <w:rPr>
          <w:rFonts w:ascii="Times New Roman" w:eastAsia="Times New Roman" w:hAnsi="Times New Roman" w:cs="Times New Roman"/>
          <w:bCs/>
          <w:sz w:val="24"/>
          <w:szCs w:val="24"/>
        </w:rPr>
        <w:cr/>
      </w:r>
    </w:p>
    <w:p w:rsidR="004873A5" w:rsidRPr="003B6AAB" w:rsidRDefault="004873A5" w:rsidP="004873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6AA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Il Dirigente Scolastico </w:t>
      </w:r>
    </w:p>
    <w:p w:rsidR="004873A5" w:rsidRPr="003B6AAB" w:rsidRDefault="004873A5" w:rsidP="004873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6AA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Dott.ssa Gabriella Di Marco</w:t>
      </w:r>
    </w:p>
    <w:p w:rsidR="004873A5" w:rsidRPr="00BC573B" w:rsidRDefault="004873A5" w:rsidP="004873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B6AA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Documento informatico firmato digitalmente ai sensi del D.Lgs 82/2005 s.m.i e norme collegate</w:t>
      </w:r>
    </w:p>
    <w:p w:rsidR="004873A5" w:rsidRPr="00C417C7" w:rsidRDefault="004873A5" w:rsidP="00C417C7">
      <w:pPr>
        <w:rPr>
          <w:rFonts w:ascii="Times New Roman" w:hAnsi="Times New Roman" w:cs="Times New Roman"/>
          <w:sz w:val="24"/>
          <w:szCs w:val="24"/>
        </w:rPr>
      </w:pPr>
    </w:p>
    <w:sectPr w:rsidR="004873A5" w:rsidRPr="00C417C7" w:rsidSect="0005226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0BD" w:rsidRDefault="001940BD" w:rsidP="00EC01AB">
      <w:pPr>
        <w:spacing w:after="0" w:line="240" w:lineRule="auto"/>
      </w:pPr>
      <w:r>
        <w:separator/>
      </w:r>
    </w:p>
  </w:endnote>
  <w:endnote w:type="continuationSeparator" w:id="1">
    <w:p w:rsidR="001940BD" w:rsidRDefault="001940BD" w:rsidP="00EC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0BD" w:rsidRDefault="001940BD" w:rsidP="00EC01AB">
      <w:pPr>
        <w:spacing w:after="0" w:line="240" w:lineRule="auto"/>
      </w:pPr>
      <w:r>
        <w:separator/>
      </w:r>
    </w:p>
  </w:footnote>
  <w:footnote w:type="continuationSeparator" w:id="1">
    <w:p w:rsidR="001940BD" w:rsidRDefault="001940BD" w:rsidP="00EC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D1" w:rsidRDefault="00C160D1" w:rsidP="00987DF0">
    <w:pPr>
      <w:pStyle w:val="Intestazione"/>
      <w:tabs>
        <w:tab w:val="left" w:pos="1080"/>
        <w:tab w:val="left" w:pos="5940"/>
      </w:tabs>
      <w:jc w:val="center"/>
      <w:rPr>
        <w:b/>
        <w:bCs/>
        <w:i/>
        <w:iCs/>
        <w:sz w:val="18"/>
        <w:szCs w:val="18"/>
      </w:rPr>
    </w:pPr>
    <w:r>
      <w:rPr>
        <w:b/>
        <w:bCs/>
        <w:i/>
        <w:iCs/>
        <w:noProof/>
        <w:sz w:val="18"/>
        <w:szCs w:val="18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438150" cy="462280"/>
          <wp:effectExtent l="0" t="0" r="0" b="0"/>
          <wp:wrapSquare wrapText="right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160D1" w:rsidRDefault="00C160D1" w:rsidP="00987DF0">
    <w:pPr>
      <w:pStyle w:val="Intestazione"/>
      <w:tabs>
        <w:tab w:val="left" w:pos="1080"/>
        <w:tab w:val="left" w:pos="5940"/>
      </w:tabs>
      <w:jc w:val="center"/>
      <w:rPr>
        <w:b/>
        <w:bCs/>
        <w:i/>
        <w:iCs/>
        <w:sz w:val="18"/>
        <w:szCs w:val="18"/>
      </w:rPr>
    </w:pPr>
  </w:p>
  <w:p w:rsidR="008B143D" w:rsidRDefault="008B143D" w:rsidP="00987DF0">
    <w:pPr>
      <w:pStyle w:val="Intestazione"/>
      <w:tabs>
        <w:tab w:val="left" w:pos="1080"/>
        <w:tab w:val="left" w:pos="5940"/>
      </w:tabs>
      <w:jc w:val="center"/>
      <w:rPr>
        <w:b/>
        <w:bCs/>
        <w:i/>
        <w:iCs/>
        <w:sz w:val="18"/>
        <w:szCs w:val="18"/>
      </w:rPr>
    </w:pPr>
  </w:p>
  <w:p w:rsidR="008B143D" w:rsidRDefault="008B143D" w:rsidP="00987DF0">
    <w:pPr>
      <w:pStyle w:val="Intestazione"/>
      <w:tabs>
        <w:tab w:val="left" w:pos="1080"/>
        <w:tab w:val="left" w:pos="5940"/>
      </w:tabs>
      <w:jc w:val="center"/>
      <w:rPr>
        <w:b/>
        <w:bCs/>
        <w:i/>
        <w:iCs/>
        <w:sz w:val="18"/>
        <w:szCs w:val="18"/>
      </w:rPr>
    </w:pPr>
  </w:p>
  <w:p w:rsidR="00C160D1" w:rsidRPr="008B143D" w:rsidRDefault="008B143D" w:rsidP="00987DF0">
    <w:pPr>
      <w:pStyle w:val="Intestazione"/>
      <w:tabs>
        <w:tab w:val="left" w:pos="1080"/>
        <w:tab w:val="left" w:pos="5940"/>
      </w:tabs>
      <w:jc w:val="center"/>
      <w:rPr>
        <w:b/>
        <w:bCs/>
        <w:i/>
        <w:iCs/>
        <w:sz w:val="28"/>
        <w:szCs w:val="28"/>
      </w:rPr>
    </w:pPr>
    <w:r w:rsidRPr="008B143D">
      <w:rPr>
        <w:rFonts w:ascii="Tahoma" w:hAnsi="Tahoma" w:cs="Tahoma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294640</wp:posOffset>
          </wp:positionV>
          <wp:extent cx="765810" cy="464820"/>
          <wp:effectExtent l="19050" t="0" r="0" b="0"/>
          <wp:wrapNone/>
          <wp:docPr id="5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B143D">
      <w:rPr>
        <w:rFonts w:ascii="Tahoma" w:hAnsi="Tahoma" w:cs="Tahoma"/>
        <w:b/>
        <w:bCs/>
        <w:noProof/>
        <w:sz w:val="40"/>
        <w:szCs w:val="4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rightMargin">
            <wp:posOffset>-238125</wp:posOffset>
          </wp:positionH>
          <wp:positionV relativeFrom="paragraph">
            <wp:posOffset>252730</wp:posOffset>
          </wp:positionV>
          <wp:extent cx="575310" cy="586740"/>
          <wp:effectExtent l="0" t="0" r="0" b="3810"/>
          <wp:wrapNone/>
          <wp:docPr id="6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0D1" w:rsidRPr="008B143D">
      <w:rPr>
        <w:b/>
        <w:bCs/>
        <w:i/>
        <w:iCs/>
        <w:sz w:val="28"/>
        <w:szCs w:val="28"/>
      </w:rPr>
      <w:t>MINISTERO DELL’ISTRUZIONE, DELL’UNIVERSITA’ E DELLA RICERCA Ufficio Scolastico Regionale per il Lazio</w:t>
    </w:r>
  </w:p>
  <w:p w:rsidR="00C160D1" w:rsidRPr="007E5499" w:rsidRDefault="00C160D1" w:rsidP="004600B7">
    <w:pPr>
      <w:pStyle w:val="Intestazione"/>
      <w:tabs>
        <w:tab w:val="left" w:pos="1080"/>
        <w:tab w:val="left" w:pos="5940"/>
        <w:tab w:val="right" w:pos="9180"/>
      </w:tabs>
      <w:jc w:val="center"/>
      <w:rPr>
        <w:rFonts w:ascii="Tahoma" w:hAnsi="Tahoma" w:cs="Tahoma"/>
        <w:iCs/>
        <w:color w:val="0000FF"/>
        <w:sz w:val="44"/>
        <w:szCs w:val="44"/>
      </w:rPr>
    </w:pPr>
    <w:r w:rsidRPr="007E5499">
      <w:rPr>
        <w:rFonts w:ascii="Tahoma" w:hAnsi="Tahoma" w:cs="Tahoma"/>
        <w:iCs/>
        <w:color w:val="0000FF"/>
        <w:sz w:val="44"/>
        <w:szCs w:val="44"/>
      </w:rPr>
      <w:t>Istituto Comprensivo “</w:t>
    </w:r>
    <w:r w:rsidRPr="007E5499">
      <w:rPr>
        <w:rFonts w:ascii="Tahoma" w:hAnsi="Tahoma" w:cs="Tahoma"/>
        <w:bCs/>
        <w:iCs/>
        <w:color w:val="0000FF"/>
        <w:sz w:val="44"/>
        <w:szCs w:val="44"/>
      </w:rPr>
      <w:t>Leonardo Da Vinci</w:t>
    </w:r>
    <w:r w:rsidRPr="007E5499">
      <w:rPr>
        <w:rFonts w:ascii="Tahoma" w:hAnsi="Tahoma" w:cs="Tahoma"/>
        <w:iCs/>
        <w:color w:val="0000FF"/>
        <w:sz w:val="44"/>
        <w:szCs w:val="44"/>
      </w:rPr>
      <w:t>”</w:t>
    </w:r>
  </w:p>
  <w:p w:rsidR="008B143D" w:rsidRPr="008B143D" w:rsidRDefault="008B143D" w:rsidP="008B143D">
    <w:pPr>
      <w:pStyle w:val="Intestazione"/>
      <w:tabs>
        <w:tab w:val="left" w:pos="1080"/>
        <w:tab w:val="left" w:pos="5940"/>
        <w:tab w:val="right" w:pos="9180"/>
      </w:tabs>
      <w:rPr>
        <w:iCs/>
      </w:rPr>
    </w:pPr>
  </w:p>
  <w:p w:rsidR="00C160D1" w:rsidRPr="008B143D" w:rsidRDefault="00C160D1" w:rsidP="004600B7">
    <w:pPr>
      <w:pStyle w:val="Indirizzodelmittente"/>
      <w:framePr w:w="0" w:hRule="auto" w:hSpace="0" w:wrap="auto" w:vAnchor="margin" w:hAnchor="text" w:xAlign="left" w:yAlign="inline"/>
      <w:tabs>
        <w:tab w:val="left" w:pos="1080"/>
        <w:tab w:val="left" w:pos="5940"/>
        <w:tab w:val="left" w:pos="6300"/>
      </w:tabs>
      <w:jc w:val="center"/>
      <w:rPr>
        <w:rFonts w:ascii="Tahoma" w:hAnsi="Tahoma" w:cs="Tahoma"/>
        <w:b/>
        <w:bCs/>
        <w:sz w:val="18"/>
        <w:szCs w:val="18"/>
      </w:rPr>
    </w:pPr>
    <w:r w:rsidRPr="008B143D">
      <w:rPr>
        <w:rFonts w:ascii="Tahoma" w:hAnsi="Tahoma" w:cs="Tahoma"/>
        <w:b/>
        <w:bCs/>
        <w:sz w:val="18"/>
        <w:szCs w:val="18"/>
      </w:rPr>
      <w:t>Cod. Mec.RMIC898002 - C.F. 94032550587-  – Via Douhet n. 6 -  00012 Guidonia – Tel. 0774/342850</w:t>
    </w:r>
  </w:p>
  <w:p w:rsidR="00C160D1" w:rsidRPr="008B143D" w:rsidRDefault="00C160D1" w:rsidP="008B143D">
    <w:pPr>
      <w:jc w:val="center"/>
      <w:rPr>
        <w:sz w:val="18"/>
        <w:szCs w:val="18"/>
      </w:rPr>
    </w:pPr>
    <w:r w:rsidRPr="008B143D">
      <w:rPr>
        <w:rFonts w:ascii="Tahoma" w:hAnsi="Tahoma" w:cs="Tahoma"/>
        <w:b/>
        <w:bCs/>
        <w:sz w:val="18"/>
        <w:szCs w:val="18"/>
      </w:rPr>
      <w:t>e-mail  –</w:t>
    </w:r>
    <w:hyperlink r:id="rId4" w:history="1">
      <w:r w:rsidRPr="008B143D">
        <w:rPr>
          <w:rStyle w:val="Collegamentoipertestuale"/>
          <w:b/>
          <w:bCs/>
          <w:sz w:val="18"/>
          <w:szCs w:val="18"/>
        </w:rPr>
        <w:t>rmic898002@istruzione.it</w:t>
      </w:r>
    </w:hyperlink>
    <w:r w:rsidRPr="008B143D">
      <w:rPr>
        <w:rFonts w:ascii="Tahoma" w:hAnsi="Tahoma" w:cs="Tahoma"/>
        <w:b/>
        <w:bCs/>
        <w:sz w:val="18"/>
        <w:szCs w:val="18"/>
      </w:rPr>
      <w:t xml:space="preserve"> –P E C: </w:t>
    </w:r>
    <w:hyperlink r:id="rId5" w:history="1">
      <w:r w:rsidRPr="008B143D">
        <w:rPr>
          <w:rStyle w:val="Collegamentoipertestuale"/>
          <w:rFonts w:ascii="Tahoma" w:hAnsi="Tahoma" w:cs="Tahoma"/>
          <w:b/>
          <w:bCs/>
          <w:sz w:val="18"/>
          <w:szCs w:val="18"/>
        </w:rPr>
        <w:t>rmic898002@pec.istruzione.it</w:t>
      </w:r>
    </w:hyperlink>
    <w:r w:rsidRPr="008B143D">
      <w:rPr>
        <w:rFonts w:ascii="Tahoma" w:hAnsi="Tahoma" w:cs="Tahoma"/>
        <w:b/>
        <w:bCs/>
        <w:sz w:val="18"/>
        <w:szCs w:val="18"/>
      </w:rPr>
      <w:t xml:space="preserve">– sito della scuola: </w:t>
    </w:r>
    <w:r w:rsidRPr="008B143D">
      <w:rPr>
        <w:sz w:val="18"/>
        <w:szCs w:val="18"/>
      </w:rPr>
      <w:t>http://icleonardodavinciguidonia.edu.it/</w:t>
    </w:r>
  </w:p>
  <w:p w:rsidR="00C160D1" w:rsidRDefault="00C160D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982_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3">
    <w:nsid w:val="009C1B07"/>
    <w:multiLevelType w:val="hybridMultilevel"/>
    <w:tmpl w:val="0A34E9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77882"/>
    <w:multiLevelType w:val="hybridMultilevel"/>
    <w:tmpl w:val="AB9E6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B5F48"/>
    <w:multiLevelType w:val="hybridMultilevel"/>
    <w:tmpl w:val="30F44B9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C52774"/>
    <w:multiLevelType w:val="hybridMultilevel"/>
    <w:tmpl w:val="1D6AAE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80B4F81"/>
    <w:multiLevelType w:val="hybridMultilevel"/>
    <w:tmpl w:val="041055F4"/>
    <w:lvl w:ilvl="0" w:tplc="656EBB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3022A"/>
    <w:multiLevelType w:val="hybridMultilevel"/>
    <w:tmpl w:val="6C58EC9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1520DE"/>
    <w:multiLevelType w:val="hybridMultilevel"/>
    <w:tmpl w:val="1DEAE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A4893"/>
    <w:multiLevelType w:val="hybridMultilevel"/>
    <w:tmpl w:val="E04A3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2A1A1"/>
    <w:multiLevelType w:val="hybridMultilevel"/>
    <w:tmpl w:val="4C5FA4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9C30FEF"/>
    <w:multiLevelType w:val="multilevel"/>
    <w:tmpl w:val="FF90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6B64F4"/>
    <w:multiLevelType w:val="hybridMultilevel"/>
    <w:tmpl w:val="0FCED3DA"/>
    <w:lvl w:ilvl="0" w:tplc="A2CE68F6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F7C573E"/>
    <w:multiLevelType w:val="hybridMultilevel"/>
    <w:tmpl w:val="7F905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A1BB8"/>
    <w:multiLevelType w:val="hybridMultilevel"/>
    <w:tmpl w:val="3DB0EAF2"/>
    <w:lvl w:ilvl="0" w:tplc="72B2A3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96FDC"/>
    <w:multiLevelType w:val="hybridMultilevel"/>
    <w:tmpl w:val="BD7CD18A"/>
    <w:lvl w:ilvl="0" w:tplc="67ACC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B1359"/>
    <w:multiLevelType w:val="hybridMultilevel"/>
    <w:tmpl w:val="BDAAC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3"/>
  </w:num>
  <w:num w:numId="5">
    <w:abstractNumId w:val="17"/>
  </w:num>
  <w:num w:numId="6">
    <w:abstractNumId w:val="13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7"/>
  </w:num>
  <w:num w:numId="12">
    <w:abstractNumId w:val="12"/>
  </w:num>
  <w:num w:numId="13">
    <w:abstractNumId w:val="5"/>
  </w:num>
  <w:num w:numId="14">
    <w:abstractNumId w:val="4"/>
  </w:num>
  <w:num w:numId="15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37D6"/>
    <w:rsid w:val="00015CCD"/>
    <w:rsid w:val="000160C0"/>
    <w:rsid w:val="000169AC"/>
    <w:rsid w:val="00022129"/>
    <w:rsid w:val="0002542D"/>
    <w:rsid w:val="00042FCA"/>
    <w:rsid w:val="00051A6F"/>
    <w:rsid w:val="00052268"/>
    <w:rsid w:val="000569D7"/>
    <w:rsid w:val="00056B67"/>
    <w:rsid w:val="00061579"/>
    <w:rsid w:val="0008029F"/>
    <w:rsid w:val="0008091F"/>
    <w:rsid w:val="0008634D"/>
    <w:rsid w:val="000936AF"/>
    <w:rsid w:val="000A518D"/>
    <w:rsid w:val="000B5E1E"/>
    <w:rsid w:val="000C2E6F"/>
    <w:rsid w:val="000C3C4E"/>
    <w:rsid w:val="000C645C"/>
    <w:rsid w:val="000C7179"/>
    <w:rsid w:val="000D4B86"/>
    <w:rsid w:val="000D5B47"/>
    <w:rsid w:val="000E071D"/>
    <w:rsid w:val="000F33A5"/>
    <w:rsid w:val="000F46F4"/>
    <w:rsid w:val="000F5601"/>
    <w:rsid w:val="000F633E"/>
    <w:rsid w:val="0010541A"/>
    <w:rsid w:val="00120DAC"/>
    <w:rsid w:val="0012256A"/>
    <w:rsid w:val="00126830"/>
    <w:rsid w:val="00126E0C"/>
    <w:rsid w:val="001278AC"/>
    <w:rsid w:val="00131C0E"/>
    <w:rsid w:val="00133CB3"/>
    <w:rsid w:val="00137B1C"/>
    <w:rsid w:val="00137D0B"/>
    <w:rsid w:val="001401DB"/>
    <w:rsid w:val="001407C0"/>
    <w:rsid w:val="00142D08"/>
    <w:rsid w:val="00151995"/>
    <w:rsid w:val="00156781"/>
    <w:rsid w:val="0016535D"/>
    <w:rsid w:val="00165958"/>
    <w:rsid w:val="00174F21"/>
    <w:rsid w:val="0017690A"/>
    <w:rsid w:val="001813A0"/>
    <w:rsid w:val="00185499"/>
    <w:rsid w:val="001913CE"/>
    <w:rsid w:val="001940BD"/>
    <w:rsid w:val="001958AB"/>
    <w:rsid w:val="001A394D"/>
    <w:rsid w:val="001B380D"/>
    <w:rsid w:val="001B44FD"/>
    <w:rsid w:val="001B4A0F"/>
    <w:rsid w:val="001B6B8C"/>
    <w:rsid w:val="001C41A7"/>
    <w:rsid w:val="001D0BC6"/>
    <w:rsid w:val="001D0FD7"/>
    <w:rsid w:val="001D367A"/>
    <w:rsid w:val="001D6283"/>
    <w:rsid w:val="001E5C30"/>
    <w:rsid w:val="00201523"/>
    <w:rsid w:val="0020395D"/>
    <w:rsid w:val="00212624"/>
    <w:rsid w:val="00214D6A"/>
    <w:rsid w:val="00227742"/>
    <w:rsid w:val="002303AF"/>
    <w:rsid w:val="00231D60"/>
    <w:rsid w:val="00232CA8"/>
    <w:rsid w:val="00246AA2"/>
    <w:rsid w:val="00251B0B"/>
    <w:rsid w:val="0025583E"/>
    <w:rsid w:val="00256A28"/>
    <w:rsid w:val="0026203C"/>
    <w:rsid w:val="00265353"/>
    <w:rsid w:val="00267455"/>
    <w:rsid w:val="00275230"/>
    <w:rsid w:val="00284BF2"/>
    <w:rsid w:val="0029451F"/>
    <w:rsid w:val="00297254"/>
    <w:rsid w:val="002A1874"/>
    <w:rsid w:val="002A1B8A"/>
    <w:rsid w:val="002A1D1C"/>
    <w:rsid w:val="002A21CD"/>
    <w:rsid w:val="002A23B8"/>
    <w:rsid w:val="002A494D"/>
    <w:rsid w:val="002B0E4F"/>
    <w:rsid w:val="002C3078"/>
    <w:rsid w:val="002C7E6D"/>
    <w:rsid w:val="002D2103"/>
    <w:rsid w:val="002D73AC"/>
    <w:rsid w:val="002D77AD"/>
    <w:rsid w:val="002E7BE0"/>
    <w:rsid w:val="002E7CFA"/>
    <w:rsid w:val="002F2146"/>
    <w:rsid w:val="002F3829"/>
    <w:rsid w:val="002F3E0E"/>
    <w:rsid w:val="002F4F57"/>
    <w:rsid w:val="002F51C8"/>
    <w:rsid w:val="002F72B5"/>
    <w:rsid w:val="003054F6"/>
    <w:rsid w:val="00317603"/>
    <w:rsid w:val="003375B8"/>
    <w:rsid w:val="003465BD"/>
    <w:rsid w:val="00351267"/>
    <w:rsid w:val="003533BC"/>
    <w:rsid w:val="0035392B"/>
    <w:rsid w:val="00355C6F"/>
    <w:rsid w:val="00382A71"/>
    <w:rsid w:val="0038406F"/>
    <w:rsid w:val="00385649"/>
    <w:rsid w:val="0039387F"/>
    <w:rsid w:val="0039540D"/>
    <w:rsid w:val="00396785"/>
    <w:rsid w:val="003A01A4"/>
    <w:rsid w:val="003A0683"/>
    <w:rsid w:val="003A7536"/>
    <w:rsid w:val="003B220B"/>
    <w:rsid w:val="003B28A6"/>
    <w:rsid w:val="003B3496"/>
    <w:rsid w:val="003C09AD"/>
    <w:rsid w:val="003C3824"/>
    <w:rsid w:val="003D10AF"/>
    <w:rsid w:val="003E1FBB"/>
    <w:rsid w:val="003E3627"/>
    <w:rsid w:val="003E3B48"/>
    <w:rsid w:val="003E4A5F"/>
    <w:rsid w:val="00407AB9"/>
    <w:rsid w:val="0041035A"/>
    <w:rsid w:val="004136F5"/>
    <w:rsid w:val="00414E69"/>
    <w:rsid w:val="0041613E"/>
    <w:rsid w:val="00426A6A"/>
    <w:rsid w:val="004271A1"/>
    <w:rsid w:val="0042798B"/>
    <w:rsid w:val="00430506"/>
    <w:rsid w:val="00434109"/>
    <w:rsid w:val="004362AE"/>
    <w:rsid w:val="004376B1"/>
    <w:rsid w:val="004379FD"/>
    <w:rsid w:val="004500BB"/>
    <w:rsid w:val="00450B98"/>
    <w:rsid w:val="004518E5"/>
    <w:rsid w:val="004600B7"/>
    <w:rsid w:val="00460F75"/>
    <w:rsid w:val="004638F6"/>
    <w:rsid w:val="00474A6C"/>
    <w:rsid w:val="0047565A"/>
    <w:rsid w:val="00482382"/>
    <w:rsid w:val="00482F61"/>
    <w:rsid w:val="0048640B"/>
    <w:rsid w:val="00486B96"/>
    <w:rsid w:val="004873A5"/>
    <w:rsid w:val="00496F5F"/>
    <w:rsid w:val="004A084B"/>
    <w:rsid w:val="004A145E"/>
    <w:rsid w:val="004A2F50"/>
    <w:rsid w:val="004A5EDE"/>
    <w:rsid w:val="004B67C6"/>
    <w:rsid w:val="004C1E6E"/>
    <w:rsid w:val="004C5F1C"/>
    <w:rsid w:val="004D12A8"/>
    <w:rsid w:val="004D36CA"/>
    <w:rsid w:val="004D4437"/>
    <w:rsid w:val="004D52FC"/>
    <w:rsid w:val="004D62B2"/>
    <w:rsid w:val="004E103C"/>
    <w:rsid w:val="004E216A"/>
    <w:rsid w:val="004F0D5F"/>
    <w:rsid w:val="005060C8"/>
    <w:rsid w:val="005074B6"/>
    <w:rsid w:val="0052197B"/>
    <w:rsid w:val="00521A77"/>
    <w:rsid w:val="00522743"/>
    <w:rsid w:val="00531127"/>
    <w:rsid w:val="005537C5"/>
    <w:rsid w:val="00560510"/>
    <w:rsid w:val="00560C65"/>
    <w:rsid w:val="005755E1"/>
    <w:rsid w:val="00580A8C"/>
    <w:rsid w:val="00581EB1"/>
    <w:rsid w:val="00587800"/>
    <w:rsid w:val="00591158"/>
    <w:rsid w:val="0059192D"/>
    <w:rsid w:val="0059792B"/>
    <w:rsid w:val="005A46EA"/>
    <w:rsid w:val="005A6E0C"/>
    <w:rsid w:val="005B6300"/>
    <w:rsid w:val="005C043D"/>
    <w:rsid w:val="005D0072"/>
    <w:rsid w:val="005D2150"/>
    <w:rsid w:val="005D2DCA"/>
    <w:rsid w:val="005D4FE9"/>
    <w:rsid w:val="005E0DE8"/>
    <w:rsid w:val="005E1001"/>
    <w:rsid w:val="005E3E34"/>
    <w:rsid w:val="005E6982"/>
    <w:rsid w:val="005F7125"/>
    <w:rsid w:val="00604906"/>
    <w:rsid w:val="006147FC"/>
    <w:rsid w:val="00616888"/>
    <w:rsid w:val="0062083D"/>
    <w:rsid w:val="006217D5"/>
    <w:rsid w:val="00630C15"/>
    <w:rsid w:val="006311C9"/>
    <w:rsid w:val="00633355"/>
    <w:rsid w:val="00634F89"/>
    <w:rsid w:val="006367BD"/>
    <w:rsid w:val="00643024"/>
    <w:rsid w:val="00644FB0"/>
    <w:rsid w:val="00671577"/>
    <w:rsid w:val="006719B3"/>
    <w:rsid w:val="00683D93"/>
    <w:rsid w:val="00685FEB"/>
    <w:rsid w:val="00696BE3"/>
    <w:rsid w:val="006A51DF"/>
    <w:rsid w:val="006A6673"/>
    <w:rsid w:val="006B1996"/>
    <w:rsid w:val="006B2472"/>
    <w:rsid w:val="006B737B"/>
    <w:rsid w:val="006C4C8D"/>
    <w:rsid w:val="006D1E3C"/>
    <w:rsid w:val="006D282F"/>
    <w:rsid w:val="006E6DE9"/>
    <w:rsid w:val="006F00CB"/>
    <w:rsid w:val="006F2D83"/>
    <w:rsid w:val="006F3EDC"/>
    <w:rsid w:val="006F6BC9"/>
    <w:rsid w:val="00705B68"/>
    <w:rsid w:val="0070636B"/>
    <w:rsid w:val="007365D5"/>
    <w:rsid w:val="00736EFF"/>
    <w:rsid w:val="007402BC"/>
    <w:rsid w:val="007412B2"/>
    <w:rsid w:val="00742457"/>
    <w:rsid w:val="007470FE"/>
    <w:rsid w:val="0074719A"/>
    <w:rsid w:val="00755793"/>
    <w:rsid w:val="00755968"/>
    <w:rsid w:val="007577F6"/>
    <w:rsid w:val="007579E3"/>
    <w:rsid w:val="00772159"/>
    <w:rsid w:val="00774F77"/>
    <w:rsid w:val="00776390"/>
    <w:rsid w:val="00781823"/>
    <w:rsid w:val="00783A7D"/>
    <w:rsid w:val="0078606A"/>
    <w:rsid w:val="00787FF2"/>
    <w:rsid w:val="007931EC"/>
    <w:rsid w:val="0079644D"/>
    <w:rsid w:val="007A6C61"/>
    <w:rsid w:val="007B6405"/>
    <w:rsid w:val="007B6B89"/>
    <w:rsid w:val="007C3D02"/>
    <w:rsid w:val="007D5BD9"/>
    <w:rsid w:val="007D73D6"/>
    <w:rsid w:val="007D7874"/>
    <w:rsid w:val="007E01D8"/>
    <w:rsid w:val="007E322E"/>
    <w:rsid w:val="007E5499"/>
    <w:rsid w:val="007E61A7"/>
    <w:rsid w:val="007F5573"/>
    <w:rsid w:val="008022C3"/>
    <w:rsid w:val="00806E0F"/>
    <w:rsid w:val="0081655A"/>
    <w:rsid w:val="00822F33"/>
    <w:rsid w:val="0082310C"/>
    <w:rsid w:val="00832E8A"/>
    <w:rsid w:val="00835E52"/>
    <w:rsid w:val="0084052A"/>
    <w:rsid w:val="0084239C"/>
    <w:rsid w:val="008452EC"/>
    <w:rsid w:val="00845545"/>
    <w:rsid w:val="008515B6"/>
    <w:rsid w:val="00870F67"/>
    <w:rsid w:val="00875805"/>
    <w:rsid w:val="00876991"/>
    <w:rsid w:val="00876D42"/>
    <w:rsid w:val="00881581"/>
    <w:rsid w:val="00884E44"/>
    <w:rsid w:val="00884E64"/>
    <w:rsid w:val="0089389E"/>
    <w:rsid w:val="00896DEA"/>
    <w:rsid w:val="008A21BD"/>
    <w:rsid w:val="008A5A6C"/>
    <w:rsid w:val="008B143D"/>
    <w:rsid w:val="008B3D24"/>
    <w:rsid w:val="008C14EF"/>
    <w:rsid w:val="008C4137"/>
    <w:rsid w:val="008D151B"/>
    <w:rsid w:val="008D6033"/>
    <w:rsid w:val="008D73A1"/>
    <w:rsid w:val="008E22D6"/>
    <w:rsid w:val="008E37D6"/>
    <w:rsid w:val="008E5437"/>
    <w:rsid w:val="008F10ED"/>
    <w:rsid w:val="009114F7"/>
    <w:rsid w:val="009172F0"/>
    <w:rsid w:val="0093020D"/>
    <w:rsid w:val="00934CAA"/>
    <w:rsid w:val="00936902"/>
    <w:rsid w:val="00947301"/>
    <w:rsid w:val="009520FB"/>
    <w:rsid w:val="009559BF"/>
    <w:rsid w:val="00967E07"/>
    <w:rsid w:val="00970710"/>
    <w:rsid w:val="009834A9"/>
    <w:rsid w:val="00987DF0"/>
    <w:rsid w:val="00994F7E"/>
    <w:rsid w:val="009A5C9D"/>
    <w:rsid w:val="009C0500"/>
    <w:rsid w:val="009C461D"/>
    <w:rsid w:val="009C57A8"/>
    <w:rsid w:val="009C6817"/>
    <w:rsid w:val="009C6AA5"/>
    <w:rsid w:val="009E0CCF"/>
    <w:rsid w:val="009E2D09"/>
    <w:rsid w:val="009E39BA"/>
    <w:rsid w:val="009F364E"/>
    <w:rsid w:val="009F71F6"/>
    <w:rsid w:val="00A01ADE"/>
    <w:rsid w:val="00A064FA"/>
    <w:rsid w:val="00A10022"/>
    <w:rsid w:val="00A15D1B"/>
    <w:rsid w:val="00A16AEB"/>
    <w:rsid w:val="00A22C50"/>
    <w:rsid w:val="00A25EE8"/>
    <w:rsid w:val="00A275A5"/>
    <w:rsid w:val="00A349A5"/>
    <w:rsid w:val="00A34BD8"/>
    <w:rsid w:val="00A358C5"/>
    <w:rsid w:val="00A378AB"/>
    <w:rsid w:val="00A42B9E"/>
    <w:rsid w:val="00A43D38"/>
    <w:rsid w:val="00A4520B"/>
    <w:rsid w:val="00A45A1D"/>
    <w:rsid w:val="00A506B0"/>
    <w:rsid w:val="00A51D9C"/>
    <w:rsid w:val="00A654A2"/>
    <w:rsid w:val="00A66524"/>
    <w:rsid w:val="00A80884"/>
    <w:rsid w:val="00A838EC"/>
    <w:rsid w:val="00A946AE"/>
    <w:rsid w:val="00AB39D6"/>
    <w:rsid w:val="00AB7DEF"/>
    <w:rsid w:val="00AC2C9A"/>
    <w:rsid w:val="00AD3ED6"/>
    <w:rsid w:val="00AF4D68"/>
    <w:rsid w:val="00B008AD"/>
    <w:rsid w:val="00B078A2"/>
    <w:rsid w:val="00B270CB"/>
    <w:rsid w:val="00B325D9"/>
    <w:rsid w:val="00B452A0"/>
    <w:rsid w:val="00B54146"/>
    <w:rsid w:val="00B5459B"/>
    <w:rsid w:val="00B5512E"/>
    <w:rsid w:val="00B62E40"/>
    <w:rsid w:val="00B66B67"/>
    <w:rsid w:val="00B71F47"/>
    <w:rsid w:val="00B7576D"/>
    <w:rsid w:val="00B76B88"/>
    <w:rsid w:val="00B80F81"/>
    <w:rsid w:val="00B8514C"/>
    <w:rsid w:val="00B9717F"/>
    <w:rsid w:val="00B97979"/>
    <w:rsid w:val="00BA6465"/>
    <w:rsid w:val="00BB1D57"/>
    <w:rsid w:val="00BC7266"/>
    <w:rsid w:val="00BD3246"/>
    <w:rsid w:val="00BD3AED"/>
    <w:rsid w:val="00BE7D1B"/>
    <w:rsid w:val="00BF1135"/>
    <w:rsid w:val="00BF73CF"/>
    <w:rsid w:val="00C048C8"/>
    <w:rsid w:val="00C102AA"/>
    <w:rsid w:val="00C160D1"/>
    <w:rsid w:val="00C16207"/>
    <w:rsid w:val="00C17D20"/>
    <w:rsid w:val="00C40E81"/>
    <w:rsid w:val="00C417C7"/>
    <w:rsid w:val="00C46EB2"/>
    <w:rsid w:val="00C50BD2"/>
    <w:rsid w:val="00C54186"/>
    <w:rsid w:val="00C558FD"/>
    <w:rsid w:val="00C644B9"/>
    <w:rsid w:val="00C64ABE"/>
    <w:rsid w:val="00C65958"/>
    <w:rsid w:val="00C74367"/>
    <w:rsid w:val="00C82584"/>
    <w:rsid w:val="00C82D7E"/>
    <w:rsid w:val="00C903B5"/>
    <w:rsid w:val="00C95CB4"/>
    <w:rsid w:val="00C963F3"/>
    <w:rsid w:val="00CA1CC3"/>
    <w:rsid w:val="00CA58AB"/>
    <w:rsid w:val="00CB00E0"/>
    <w:rsid w:val="00CB6327"/>
    <w:rsid w:val="00CB74F8"/>
    <w:rsid w:val="00CC0A30"/>
    <w:rsid w:val="00CC137D"/>
    <w:rsid w:val="00CC1DD3"/>
    <w:rsid w:val="00CC570E"/>
    <w:rsid w:val="00CC7709"/>
    <w:rsid w:val="00CD6016"/>
    <w:rsid w:val="00CE4ED2"/>
    <w:rsid w:val="00CE794B"/>
    <w:rsid w:val="00CE7CB5"/>
    <w:rsid w:val="00CF2029"/>
    <w:rsid w:val="00D079C8"/>
    <w:rsid w:val="00D07EC4"/>
    <w:rsid w:val="00D10DC0"/>
    <w:rsid w:val="00D11F27"/>
    <w:rsid w:val="00D15D47"/>
    <w:rsid w:val="00D22F56"/>
    <w:rsid w:val="00D271C8"/>
    <w:rsid w:val="00D279E1"/>
    <w:rsid w:val="00D30374"/>
    <w:rsid w:val="00D30A6E"/>
    <w:rsid w:val="00D32E1C"/>
    <w:rsid w:val="00D43344"/>
    <w:rsid w:val="00D43F5C"/>
    <w:rsid w:val="00D5199E"/>
    <w:rsid w:val="00D53AD7"/>
    <w:rsid w:val="00D642FF"/>
    <w:rsid w:val="00D6499F"/>
    <w:rsid w:val="00D70F36"/>
    <w:rsid w:val="00D74F34"/>
    <w:rsid w:val="00D8576A"/>
    <w:rsid w:val="00D85EB4"/>
    <w:rsid w:val="00D91FA9"/>
    <w:rsid w:val="00DA3CF4"/>
    <w:rsid w:val="00DA5D67"/>
    <w:rsid w:val="00DB2FF9"/>
    <w:rsid w:val="00DB4EE5"/>
    <w:rsid w:val="00DD01C8"/>
    <w:rsid w:val="00DD1F47"/>
    <w:rsid w:val="00DD4DE8"/>
    <w:rsid w:val="00DD7FF7"/>
    <w:rsid w:val="00DE06ED"/>
    <w:rsid w:val="00DE4AD5"/>
    <w:rsid w:val="00DE70B1"/>
    <w:rsid w:val="00DF5BA1"/>
    <w:rsid w:val="00E0038E"/>
    <w:rsid w:val="00E07C12"/>
    <w:rsid w:val="00E110B0"/>
    <w:rsid w:val="00E133CF"/>
    <w:rsid w:val="00E14466"/>
    <w:rsid w:val="00E324CE"/>
    <w:rsid w:val="00E32AAF"/>
    <w:rsid w:val="00E34FC9"/>
    <w:rsid w:val="00E36C7A"/>
    <w:rsid w:val="00E401D8"/>
    <w:rsid w:val="00E434D4"/>
    <w:rsid w:val="00E45686"/>
    <w:rsid w:val="00E45779"/>
    <w:rsid w:val="00E45B5A"/>
    <w:rsid w:val="00E50403"/>
    <w:rsid w:val="00E513E8"/>
    <w:rsid w:val="00E534B8"/>
    <w:rsid w:val="00E53DB3"/>
    <w:rsid w:val="00E607EF"/>
    <w:rsid w:val="00E63F89"/>
    <w:rsid w:val="00E650B3"/>
    <w:rsid w:val="00E6532D"/>
    <w:rsid w:val="00E8376D"/>
    <w:rsid w:val="00E84D78"/>
    <w:rsid w:val="00E86431"/>
    <w:rsid w:val="00E9645F"/>
    <w:rsid w:val="00E974C2"/>
    <w:rsid w:val="00EA5B6F"/>
    <w:rsid w:val="00EA5D9B"/>
    <w:rsid w:val="00EB1AEA"/>
    <w:rsid w:val="00EB3343"/>
    <w:rsid w:val="00EB68A4"/>
    <w:rsid w:val="00EC01AB"/>
    <w:rsid w:val="00EC20CE"/>
    <w:rsid w:val="00EC4ED1"/>
    <w:rsid w:val="00EC54A8"/>
    <w:rsid w:val="00EC67E8"/>
    <w:rsid w:val="00ED0373"/>
    <w:rsid w:val="00ED0781"/>
    <w:rsid w:val="00ED0B99"/>
    <w:rsid w:val="00ED73AE"/>
    <w:rsid w:val="00EE11EB"/>
    <w:rsid w:val="00EE6DFF"/>
    <w:rsid w:val="00EF27F6"/>
    <w:rsid w:val="00F106C3"/>
    <w:rsid w:val="00F12307"/>
    <w:rsid w:val="00F202B5"/>
    <w:rsid w:val="00F22B5B"/>
    <w:rsid w:val="00F23CC7"/>
    <w:rsid w:val="00F2518D"/>
    <w:rsid w:val="00F27B94"/>
    <w:rsid w:val="00F33DD4"/>
    <w:rsid w:val="00F35355"/>
    <w:rsid w:val="00F36A80"/>
    <w:rsid w:val="00F5210D"/>
    <w:rsid w:val="00F55176"/>
    <w:rsid w:val="00F67D53"/>
    <w:rsid w:val="00F71049"/>
    <w:rsid w:val="00F712F2"/>
    <w:rsid w:val="00F77743"/>
    <w:rsid w:val="00F83F5D"/>
    <w:rsid w:val="00F94557"/>
    <w:rsid w:val="00F9737B"/>
    <w:rsid w:val="00FA0E19"/>
    <w:rsid w:val="00FA5091"/>
    <w:rsid w:val="00FB07EE"/>
    <w:rsid w:val="00FB5316"/>
    <w:rsid w:val="00FC2868"/>
    <w:rsid w:val="00FC3781"/>
    <w:rsid w:val="00FC57A4"/>
    <w:rsid w:val="00FD64A8"/>
    <w:rsid w:val="00FE50F3"/>
    <w:rsid w:val="00FF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64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E37D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8E37D6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rsid w:val="008E37D6"/>
    <w:rPr>
      <w:color w:val="0000FF"/>
      <w:u w:val="single"/>
    </w:rPr>
  </w:style>
  <w:style w:type="paragraph" w:customStyle="1" w:styleId="Indirizzodelmittente">
    <w:name w:val="Indirizzo del mittente"/>
    <w:basedOn w:val="Normale"/>
    <w:uiPriority w:val="99"/>
    <w:rsid w:val="008E37D6"/>
    <w:pPr>
      <w:keepLines/>
      <w:framePr w:w="2640" w:h="1018" w:hRule="exact" w:hSpace="180" w:wrap="notBeside" w:vAnchor="page" w:hAnchor="page" w:x="8821" w:y="721" w:anchorLock="1"/>
      <w:spacing w:after="0" w:line="200" w:lineRule="atLeast"/>
      <w:ind w:right="-360"/>
    </w:pPr>
    <w:rPr>
      <w:rFonts w:ascii="Times New Roman" w:eastAsia="Times New Roman" w:hAnsi="Times New Roman"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7D6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4E103C"/>
    <w:pPr>
      <w:tabs>
        <w:tab w:val="decimal" w:pos="283"/>
        <w:tab w:val="decimal" w:pos="850"/>
      </w:tabs>
      <w:spacing w:after="0" w:line="240" w:lineRule="atLeast"/>
      <w:ind w:right="-51"/>
      <w:jc w:val="center"/>
    </w:pPr>
    <w:rPr>
      <w:rFonts w:ascii="Bodoni MT Black" w:eastAsia="Times New Roman" w:hAnsi="Bodoni MT Black" w:cs="Times New Roman"/>
      <w:b/>
      <w:bCs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4E103C"/>
    <w:rPr>
      <w:rFonts w:ascii="Bodoni MT Black" w:eastAsia="Times New Roman" w:hAnsi="Bodoni MT Black" w:cs="Times New Roman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4E103C"/>
    <w:pPr>
      <w:spacing w:after="120" w:line="480" w:lineRule="auto"/>
    </w:pPr>
    <w:rPr>
      <w:rFonts w:ascii="Book Antiqua" w:eastAsia="Times New Roman" w:hAnsi="Book Antiqua" w:cs="Times New Roman"/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4E103C"/>
    <w:rPr>
      <w:rFonts w:ascii="Book Antiqua" w:eastAsia="Times New Roman" w:hAnsi="Book Antiqua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401DB"/>
    <w:pPr>
      <w:ind w:left="720"/>
      <w:contextualSpacing/>
    </w:pPr>
  </w:style>
  <w:style w:type="paragraph" w:customStyle="1" w:styleId="Default">
    <w:name w:val="Default"/>
    <w:rsid w:val="003176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87D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DF0"/>
  </w:style>
  <w:style w:type="paragraph" w:styleId="Nessunaspaziatura">
    <w:name w:val="No Spacing"/>
    <w:uiPriority w:val="1"/>
    <w:qFormat/>
    <w:rsid w:val="00987D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-list-item">
    <w:name w:val="a-list-item"/>
    <w:basedOn w:val="Carpredefinitoparagrafo"/>
    <w:rsid w:val="00987DF0"/>
  </w:style>
  <w:style w:type="character" w:styleId="Enfasigrassetto">
    <w:name w:val="Strong"/>
    <w:basedOn w:val="Carpredefinitoparagrafo"/>
    <w:uiPriority w:val="22"/>
    <w:qFormat/>
    <w:rsid w:val="00987DF0"/>
    <w:rPr>
      <w:b/>
      <w:bCs/>
    </w:rPr>
  </w:style>
  <w:style w:type="paragraph" w:customStyle="1" w:styleId="Standard">
    <w:name w:val="Standard"/>
    <w:rsid w:val="008C413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table" w:styleId="Grigliatabella">
    <w:name w:val="Table Grid"/>
    <w:basedOn w:val="Tabellanormale"/>
    <w:rsid w:val="00B270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587800"/>
  </w:style>
  <w:style w:type="character" w:styleId="Collegamentovisitato">
    <w:name w:val="FollowedHyperlink"/>
    <w:basedOn w:val="Carpredefinitoparagrafo"/>
    <w:uiPriority w:val="99"/>
    <w:semiHidden/>
    <w:unhideWhenUsed/>
    <w:rsid w:val="003A7536"/>
    <w:rPr>
      <w:color w:val="800080" w:themeColor="followedHyperlink"/>
      <w:u w:val="single"/>
    </w:rPr>
  </w:style>
  <w:style w:type="table" w:customStyle="1" w:styleId="TableNormal">
    <w:name w:val="Table Normal"/>
    <w:uiPriority w:val="2"/>
    <w:qFormat/>
    <w:rsid w:val="001268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rsid w:val="00E63F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F83F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F83F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F83F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39"/>
    <w:rsid w:val="00F83F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rsid w:val="002A23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2E6F"/>
    <w:rPr>
      <w:color w:val="605E5C"/>
      <w:shd w:val="clear" w:color="auto" w:fill="E1DFDD"/>
    </w:rPr>
  </w:style>
  <w:style w:type="table" w:customStyle="1" w:styleId="Grigliatabella4">
    <w:name w:val="Griglia tabella4"/>
    <w:basedOn w:val="Tabellanormale"/>
    <w:next w:val="Grigliatabella"/>
    <w:rsid w:val="008D151B"/>
    <w:pPr>
      <w:spacing w:after="0" w:line="240" w:lineRule="auto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8D15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389E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F5210D"/>
    <w:pPr>
      <w:spacing w:after="0" w:line="240" w:lineRule="auto"/>
      <w:jc w:val="left"/>
    </w:pPr>
    <w:rPr>
      <w:rFonts w:eastAsia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5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31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leonardodavinciguidonia.e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1AE1-B574-4A30-B1E9-15A9A153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</cp:lastModifiedBy>
  <cp:revision>19</cp:revision>
  <cp:lastPrinted>2021-04-16T13:00:00Z</cp:lastPrinted>
  <dcterms:created xsi:type="dcterms:W3CDTF">2021-02-15T05:47:00Z</dcterms:created>
  <dcterms:modified xsi:type="dcterms:W3CDTF">2021-04-16T13:20:00Z</dcterms:modified>
</cp:coreProperties>
</file>