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32"/>
          <w:shd w:fill="auto" w:val="clear"/>
        </w:rPr>
        <w:t xml:space="preserve">ALL 2) REGOLE PER IL CORRETTO UTILIZZO DEI GUANTI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252" w:dyaOrig="6939">
          <v:rect xmlns:o="urn:schemas-microsoft-com:office:office" xmlns:v="urn:schemas-microsoft-com:vml" id="rectole0000000000" style="width:462.600000pt;height:34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1C2024"/>
          <w:spacing w:val="0"/>
          <w:position w:val="0"/>
          <w:sz w:val="27"/>
          <w:shd w:fill="FFFFFF" w:val="clear"/>
        </w:rPr>
        <w:t xml:space="preserve">Sì ai guanti a patto che: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non sostituiscano la corretta igiene delle mani che deve avvenire attraverso un lavaggio accurato e pe 60 secondi;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siano ricambiati ogni volta che si sporcano ed eliminati correttamente nei rifiuti indifferenziati;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come le mani, non vengano a contatto con bocca naso e occhi;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siano eliminati al termine dell’uso, per esempio, al supermercato; 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non siano riutilizzati.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1C2024"/>
          <w:spacing w:val="0"/>
          <w:position w:val="0"/>
          <w:sz w:val="27"/>
          <w:shd w:fill="FFFFFF" w:val="clear"/>
        </w:rPr>
        <w:t xml:space="preserve">Dove sono necessari?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In alcuni contesti lavorativi come per esempio personale addetto alla pulizia, alla ristorazione o al commercio di alimenti.</w:t>
      </w:r>
    </w:p>
    <w:p>
      <w:pPr>
        <w:spacing w:before="0" w:after="188" w:line="240"/>
        <w:ind w:right="0" w:left="0" w:firstLine="0"/>
        <w:jc w:val="left"/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1C2024"/>
          <w:spacing w:val="0"/>
          <w:position w:val="0"/>
          <w:sz w:val="27"/>
          <w:shd w:fill="FFFFFF" w:val="clear"/>
        </w:rPr>
        <w:t xml:space="preserve">- Sono indispensabili nel caso di assistenza ospedaliera o domiciliare a malati.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