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605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 xml:space="preserve">Comunicazione n. </w:t>
      </w:r>
      <w:r w:rsidR="00605026">
        <w:rPr>
          <w:rFonts w:ascii="Arial" w:hAnsi="Arial" w:cs="Arial"/>
          <w:sz w:val="24"/>
          <w:szCs w:val="24"/>
          <w:lang w:val="it-IT"/>
        </w:rPr>
        <w:t>30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605026">
        <w:rPr>
          <w:rFonts w:ascii="Arial" w:hAnsi="Arial" w:cs="Arial"/>
          <w:sz w:val="22"/>
          <w:szCs w:val="22"/>
          <w:lang w:val="it-IT"/>
        </w:rPr>
        <w:t>12/04/2022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2406E" w:rsidTr="00482DC8">
        <w:trPr>
          <w:trHeight w:val="1319"/>
        </w:trPr>
        <w:tc>
          <w:tcPr>
            <w:tcW w:w="10115" w:type="dxa"/>
          </w:tcPr>
          <w:p w:rsidR="0002406E" w:rsidRPr="00605026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605026"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22 e 23 aprile</w:t>
            </w:r>
            <w:r w:rsidR="002417D8"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676BCF"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2022</w:t>
            </w:r>
            <w:r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per tutto il personale Docente  Dirigente  e ATA</w:t>
            </w:r>
            <w:r w:rsidR="0002406E"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482DC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6050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605026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</w:t>
      </w:r>
      <w:r w:rsidRPr="00605026">
        <w:rPr>
          <w:rFonts w:ascii="Arial" w:hAnsi="Arial" w:cs="Arial"/>
          <w:b/>
          <w:bCs/>
          <w:sz w:val="22"/>
          <w:szCs w:val="22"/>
        </w:rPr>
        <w:t xml:space="preserve">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605026">
        <w:rPr>
          <w:rFonts w:ascii="Arial" w:hAnsi="Arial" w:cs="Arial"/>
          <w:sz w:val="22"/>
          <w:szCs w:val="22"/>
          <w:lang w:val="it-IT"/>
        </w:rPr>
        <w:t xml:space="preserve">lo sciopero si svolgerà il giorno </w:t>
      </w:r>
      <w:r w:rsidR="00605026">
        <w:rPr>
          <w:rFonts w:ascii="Arial" w:hAnsi="Arial" w:cs="Arial"/>
          <w:b/>
          <w:bCs/>
          <w:sz w:val="22"/>
          <w:szCs w:val="22"/>
          <w:lang w:val="it-IT"/>
        </w:rPr>
        <w:t>22 e 23 aprile</w:t>
      </w:r>
      <w:r w:rsidR="009D79DF" w:rsidRPr="00605026">
        <w:rPr>
          <w:rFonts w:ascii="Arial" w:hAnsi="Arial" w:cs="Arial"/>
          <w:b/>
          <w:bCs/>
          <w:sz w:val="22"/>
          <w:szCs w:val="22"/>
          <w:lang w:val="it-IT"/>
        </w:rPr>
        <w:t xml:space="preserve"> 2022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per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605026" w:rsidRDefault="00605026" w:rsidP="00482DC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</w:t>
      </w:r>
      <w:r w:rsidRPr="00605026">
        <w:rPr>
          <w:rFonts w:ascii="Arial" w:hAnsi="Arial" w:cs="Arial"/>
          <w:sz w:val="22"/>
          <w:szCs w:val="22"/>
          <w:lang w:val="it-IT"/>
        </w:rPr>
        <w:t xml:space="preserve">pplicazione di un orario di servizio pari a trentasei ore ai docenti non vaccinati e della non specifica del servizio che sarà attribuito al personale </w:t>
      </w:r>
      <w:proofErr w:type="spellStart"/>
      <w:r w:rsidRPr="00605026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605026">
        <w:rPr>
          <w:rFonts w:ascii="Arial" w:hAnsi="Arial" w:cs="Arial"/>
          <w:sz w:val="22"/>
          <w:szCs w:val="22"/>
          <w:lang w:val="it-IT"/>
        </w:rPr>
        <w:t xml:space="preserve"> non vaccinato; abolizione super green pass e green pass, gratuità tamponi; reinserimento del personale docente ed </w:t>
      </w:r>
      <w:proofErr w:type="spellStart"/>
      <w:r w:rsidRPr="00605026">
        <w:rPr>
          <w:rFonts w:ascii="Arial" w:hAnsi="Arial" w:cs="Arial"/>
          <w:sz w:val="22"/>
          <w:szCs w:val="22"/>
          <w:lang w:val="it-IT"/>
        </w:rPr>
        <w:t>ata</w:t>
      </w:r>
      <w:proofErr w:type="spellEnd"/>
      <w:r w:rsidRPr="00605026">
        <w:rPr>
          <w:rFonts w:ascii="Arial" w:hAnsi="Arial" w:cs="Arial"/>
          <w:sz w:val="22"/>
          <w:szCs w:val="22"/>
          <w:lang w:val="it-IT"/>
        </w:rPr>
        <w:t xml:space="preserve"> come da CCNL con le mansioni svolte prima della sospensione; abolizione multa per non vaccinati.</w:t>
      </w:r>
    </w:p>
    <w:p w:rsidR="00605026" w:rsidRPr="00482DC8" w:rsidRDefault="00605026" w:rsidP="00482DC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</w:t>
      </w:r>
      <w:r w:rsidRPr="00605026">
        <w:rPr>
          <w:rFonts w:ascii="Arial" w:hAnsi="Arial" w:cs="Arial"/>
          <w:sz w:val="22"/>
          <w:szCs w:val="22"/>
          <w:lang w:val="it-IT"/>
        </w:rPr>
        <w:t xml:space="preserve">ontro la guerra e l'invio di armi; rispetto della Costituzione italiana , ripristino della libertà ed eliminazione di ogni discriminazione sanitaria e di opinione; contro ogni forma di licenziamento e delocalizzazione della produzione; salario minimo intercategoriale a 1500 euro; piano di investimenti e assunzioni straordinarie; tutela ambiente e ricostruzione e messa in sicurezza del territorio; contro la sospensione del salario e dei diritti per chi non si sottopone al green pass; contro le morti sul lavoro, per la sicurezza e la tutela della salute; contro gli sfratti; contro ogni forma di limitazione del diritto di sciopero; per il diritto alla pensione a 60 anni o 35 anni di lavoro - abolizione legge </w:t>
      </w:r>
      <w:proofErr w:type="spellStart"/>
      <w:r w:rsidRPr="00605026">
        <w:rPr>
          <w:rFonts w:ascii="Arial" w:hAnsi="Arial" w:cs="Arial"/>
          <w:sz w:val="22"/>
          <w:szCs w:val="22"/>
          <w:lang w:val="it-IT"/>
        </w:rPr>
        <w:t>Fornero</w:t>
      </w:r>
      <w:proofErr w:type="spellEnd"/>
    </w:p>
    <w:p w:rsidR="00482DC8" w:rsidRPr="00482DC8" w:rsidRDefault="00482DC8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certificato dall’ARAN per il triennio 2019-2021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t>Fonte dati:</w:t>
      </w:r>
    </w:p>
    <w:p w:rsidR="009B4B02" w:rsidRPr="00482DC8" w:rsidRDefault="00FC091C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605026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="0002406E" w:rsidRPr="00605026">
        <w:rPr>
          <w:rFonts w:ascii="Arial" w:hAnsi="Arial" w:cs="Arial"/>
          <w:b/>
          <w:sz w:val="22"/>
          <w:szCs w:val="22"/>
          <w:lang w:val="it-IT"/>
        </w:rPr>
        <w:t>hanno/</w:t>
      </w:r>
      <w:r w:rsidRPr="00605026">
        <w:rPr>
          <w:rFonts w:ascii="Arial" w:hAnsi="Arial" w:cs="Arial"/>
          <w:b/>
          <w:bCs/>
          <w:sz w:val="22"/>
          <w:szCs w:val="22"/>
          <w:lang w:val="it-IT"/>
        </w:rPr>
        <w:t>non hanno presentato liste e conseguentemente non hanno ottenuto voti</w:t>
      </w:r>
      <w:r w:rsidR="0002406E" w:rsidRPr="00605026">
        <w:rPr>
          <w:rFonts w:ascii="Arial" w:hAnsi="Arial" w:cs="Arial"/>
          <w:sz w:val="22"/>
          <w:szCs w:val="22"/>
          <w:lang w:val="it-IT"/>
        </w:rPr>
        <w:t>.</w:t>
      </w:r>
      <w:r w:rsidR="0002406E"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482DC8">
        <w:trPr>
          <w:trHeight w:val="598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</w:t>
            </w:r>
            <w:r w:rsidR="009D79DF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1-2022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605026" w:rsidP="00AD5226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11/10/2021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AD5226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AL COBAS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AD5226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  <w:tr w:rsidR="009B4B02" w:rsidRPr="00482DC8" w:rsidTr="00482DC8">
        <w:tc>
          <w:tcPr>
            <w:tcW w:w="1336" w:type="dxa"/>
          </w:tcPr>
          <w:p w:rsidR="009B4B02" w:rsidRPr="00482DC8" w:rsidRDefault="009D79DF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2020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605026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03/10/2020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9B4B02" w:rsidRPr="00482DC8" w:rsidRDefault="00605026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CSLE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4B02" w:rsidRPr="00482DC8" w:rsidRDefault="00605026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Ai sensi dell’art. 2, comma 2, del richiamato Accordo Aran, in relazione all’azione di sciopero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E" w:rsidRDefault="002D31BE" w:rsidP="000A49FE">
      <w:pPr>
        <w:spacing w:after="0" w:line="240" w:lineRule="auto"/>
      </w:pPr>
      <w:r>
        <w:separator/>
      </w:r>
    </w:p>
  </w:endnote>
  <w:endnote w:type="continuationSeparator" w:id="0">
    <w:p w:rsidR="002D31BE" w:rsidRDefault="002D31BE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FC091C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AD5226">
          <w:rPr>
            <w:rFonts w:ascii="Arial" w:hAnsi="Arial" w:cs="Arial"/>
            <w:noProof/>
          </w:rPr>
          <w:t>1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E" w:rsidRDefault="002D31BE" w:rsidP="000A49FE">
      <w:pPr>
        <w:spacing w:after="0" w:line="240" w:lineRule="auto"/>
      </w:pPr>
      <w:r>
        <w:separator/>
      </w:r>
    </w:p>
  </w:footnote>
  <w:footnote w:type="continuationSeparator" w:id="0">
    <w:p w:rsidR="002D31BE" w:rsidRDefault="002D31BE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2406E"/>
    <w:rsid w:val="00041A9A"/>
    <w:rsid w:val="000A0965"/>
    <w:rsid w:val="000A49FE"/>
    <w:rsid w:val="000F4E69"/>
    <w:rsid w:val="001246CB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1BE"/>
    <w:rsid w:val="002D3B5E"/>
    <w:rsid w:val="002D571A"/>
    <w:rsid w:val="00300A9F"/>
    <w:rsid w:val="00301BB0"/>
    <w:rsid w:val="00304AE0"/>
    <w:rsid w:val="003527C1"/>
    <w:rsid w:val="003A100D"/>
    <w:rsid w:val="003B0FE9"/>
    <w:rsid w:val="003D23F0"/>
    <w:rsid w:val="003E7A88"/>
    <w:rsid w:val="0040067F"/>
    <w:rsid w:val="00414310"/>
    <w:rsid w:val="00414657"/>
    <w:rsid w:val="004549BF"/>
    <w:rsid w:val="00473E7A"/>
    <w:rsid w:val="00482DC8"/>
    <w:rsid w:val="00523F56"/>
    <w:rsid w:val="005329C0"/>
    <w:rsid w:val="00577F6B"/>
    <w:rsid w:val="00581C0D"/>
    <w:rsid w:val="00590870"/>
    <w:rsid w:val="005B78D8"/>
    <w:rsid w:val="005D087F"/>
    <w:rsid w:val="00605026"/>
    <w:rsid w:val="00607E5A"/>
    <w:rsid w:val="00614F10"/>
    <w:rsid w:val="00621877"/>
    <w:rsid w:val="00655728"/>
    <w:rsid w:val="00657EA5"/>
    <w:rsid w:val="00661291"/>
    <w:rsid w:val="006657BE"/>
    <w:rsid w:val="00676BCF"/>
    <w:rsid w:val="006C4AB1"/>
    <w:rsid w:val="006D4C77"/>
    <w:rsid w:val="006F504C"/>
    <w:rsid w:val="006F5433"/>
    <w:rsid w:val="00703123"/>
    <w:rsid w:val="00723A8B"/>
    <w:rsid w:val="00751E1D"/>
    <w:rsid w:val="00756468"/>
    <w:rsid w:val="007710B4"/>
    <w:rsid w:val="007B6C2E"/>
    <w:rsid w:val="007E3A79"/>
    <w:rsid w:val="008131F4"/>
    <w:rsid w:val="00867882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AD5226"/>
    <w:rsid w:val="00B73C57"/>
    <w:rsid w:val="00B8492C"/>
    <w:rsid w:val="00BA4862"/>
    <w:rsid w:val="00BB538C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E6E5F"/>
    <w:rsid w:val="00E26252"/>
    <w:rsid w:val="00E311C4"/>
    <w:rsid w:val="00E40EE4"/>
    <w:rsid w:val="00E51B3C"/>
    <w:rsid w:val="00E61944"/>
    <w:rsid w:val="00E62390"/>
    <w:rsid w:val="00EA6878"/>
    <w:rsid w:val="00ED0F8B"/>
    <w:rsid w:val="00ED59A5"/>
    <w:rsid w:val="00F150D4"/>
    <w:rsid w:val="00F65FDF"/>
    <w:rsid w:val="00F842EE"/>
    <w:rsid w:val="00F97941"/>
    <w:rsid w:val="00FA36F6"/>
    <w:rsid w:val="00FB2B45"/>
    <w:rsid w:val="00FC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EE3A2-6813-4984-88CE-F45908CC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4</cp:revision>
  <dcterms:created xsi:type="dcterms:W3CDTF">2022-02-10T13:18:00Z</dcterms:created>
  <dcterms:modified xsi:type="dcterms:W3CDTF">2022-04-12T13:12:00Z</dcterms:modified>
</cp:coreProperties>
</file>