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25839A" w14:textId="360D5B1E" w:rsidR="00BC2AB4" w:rsidRDefault="00747C34" w:rsidP="002A5CD7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0AA7AAF4" w14:textId="77777777" w:rsidR="00496193" w:rsidRDefault="00747C34" w:rsidP="00496193">
      <w:pPr>
        <w:spacing w:after="0"/>
        <w:jc w:val="both"/>
        <w:rPr>
          <w:rFonts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lang w:val="it-IT"/>
        </w:rPr>
        <w:t xml:space="preserve"> </w:t>
      </w:r>
      <w:r w:rsidR="00496193">
        <w:rPr>
          <w:rFonts w:eastAsia="Calibri" w:cstheme="minorHAnsi"/>
          <w:lang w:val="it-IT"/>
        </w:rPr>
        <w:t xml:space="preserve">per la </w:t>
      </w:r>
      <w:r w:rsidR="002A5CD7">
        <w:rPr>
          <w:rFonts w:eastAsia="Calibri" w:cstheme="minorHAnsi"/>
          <w:lang w:val="it-IT"/>
        </w:rPr>
        <w:t xml:space="preserve">fornitura di </w:t>
      </w:r>
      <w:r w:rsidR="00496193">
        <w:rPr>
          <w:rFonts w:eastAsia="Calibri" w:cstheme="minorHAnsi"/>
          <w:lang w:val="it-IT"/>
        </w:rPr>
        <w:t>Sussidi Didattici</w:t>
      </w:r>
      <w:r w:rsidR="002A5CD7">
        <w:rPr>
          <w:rFonts w:eastAsia="Calibri" w:cstheme="minorHAnsi"/>
          <w:lang w:val="it-IT"/>
        </w:rPr>
        <w:t xml:space="preserve"> 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496193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>CUP</w:t>
      </w:r>
      <w:r w:rsidR="002A5CD7" w:rsidRPr="002A5CD7">
        <w:t xml:space="preserve"> </w:t>
      </w:r>
      <w:r w:rsidR="002A5CD7">
        <w:t>E44D22004520006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496193">
        <w:rPr>
          <w:rFonts w:cstheme="minorHAnsi"/>
          <w:lang w:val="it-IT"/>
        </w:rPr>
        <w:t xml:space="preserve">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96193">
        <w:rPr>
          <w:rFonts w:cstheme="minorHAnsi"/>
          <w:lang w:val="it-IT"/>
        </w:rPr>
        <w:t>Next</w:t>
      </w:r>
      <w:proofErr w:type="spellEnd"/>
      <w:r w:rsidR="00496193">
        <w:rPr>
          <w:rFonts w:cstheme="minorHAnsi"/>
          <w:lang w:val="it-IT"/>
        </w:rPr>
        <w:t xml:space="preserve"> generation EU. Strumenti e ausili per la riduzione dei divari di apprendimento per gli studenti con disabilità da parte dei Centri Territoriali di Supporto (D.M. 41/2024)</w:t>
      </w:r>
    </w:p>
    <w:p w14:paraId="379ABCC5" w14:textId="3CC91E99" w:rsidR="008F0B5F" w:rsidRDefault="00DA36A1" w:rsidP="00496193">
      <w:pPr>
        <w:spacing w:after="0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5FC58561" w:rsidR="008B3050" w:rsidRPr="003D3692" w:rsidRDefault="008B3050" w:rsidP="00734FF5">
      <w:pPr>
        <w:spacing w:after="16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26F2BC2F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</w:t>
      </w:r>
      <w:r w:rsidR="00471C2A">
        <w:rPr>
          <w:rFonts w:ascii="Calibri" w:hAnsi="Calibri" w:cs="Calibri"/>
          <w:sz w:val="22"/>
          <w:szCs w:val="22"/>
        </w:rPr>
        <w:t>a Direzione Didattica G. Mazzini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</w:t>
      </w:r>
      <w:r w:rsidR="004A3ED2" w:rsidRPr="004A3ED2">
        <w:rPr>
          <w:rFonts w:asciiTheme="minorHAnsi" w:hAnsiTheme="minorHAnsi" w:cstheme="minorHAnsi"/>
          <w:sz w:val="22"/>
          <w:szCs w:val="22"/>
        </w:rPr>
        <w:t xml:space="preserve">Potenziamento dell’offerta dei servizi di istruzione: dagli asili nido alle università – Investimento 1.4 Intervento straordinario finalizzato alla riduzione dei divari territoriali nella scuola secondaria di primo e secondo grado e alla lotta alla dispersione scolastica del PNRR, finanziato dall’UE – </w:t>
      </w:r>
      <w:proofErr w:type="spellStart"/>
      <w:r w:rsidR="004A3ED2" w:rsidRPr="004A3ED2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4A3ED2" w:rsidRPr="004A3ED2">
        <w:rPr>
          <w:rFonts w:asciiTheme="minorHAnsi" w:hAnsiTheme="minorHAnsi" w:cstheme="minorHAnsi"/>
          <w:sz w:val="22"/>
          <w:szCs w:val="22"/>
        </w:rPr>
        <w:t xml:space="preserve"> generation EU. Strumenti e ausili per la riduzione dei divari di apprendimento per gli studenti con disabilità da parte dei Centri Territoriali di Supporto (D.M. 41/2024</w:t>
      </w:r>
      <w:r w:rsidR="00922F28">
        <w:rPr>
          <w:rFonts w:asciiTheme="minorHAnsi" w:hAnsiTheme="minorHAnsi" w:cstheme="minorHAnsi"/>
          <w:sz w:val="22"/>
          <w:szCs w:val="22"/>
        </w:rPr>
        <w:t xml:space="preserve">) </w:t>
      </w:r>
      <w:r w:rsidR="00A95CA4" w:rsidRPr="004A3ED2">
        <w:rPr>
          <w:rFonts w:asciiTheme="minorHAnsi" w:hAnsiTheme="minorHAnsi" w:cstheme="minorHAnsi"/>
          <w:sz w:val="22"/>
          <w:szCs w:val="22"/>
        </w:rPr>
        <w:t>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467FF4BB" w14:textId="77777777" w:rsidR="008F0B5F" w:rsidRPr="008F0B5F" w:rsidRDefault="00A95CA4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>r</w:t>
      </w:r>
      <w:r w:rsidR="003D3692" w:rsidRPr="008F0B5F">
        <w:rPr>
          <w:rFonts w:ascii="Calibri" w:hAnsi="Calibri" w:cs="Calibri"/>
          <w:sz w:val="22"/>
          <w:szCs w:val="22"/>
        </w:rPr>
        <w:t>ispettare</w:t>
      </w:r>
      <w:r w:rsidRPr="008F0B5F">
        <w:rPr>
          <w:rFonts w:ascii="Calibri" w:hAnsi="Calibri" w:cs="Calibri"/>
          <w:sz w:val="22"/>
          <w:szCs w:val="22"/>
        </w:rPr>
        <w:t xml:space="preserve"> </w:t>
      </w:r>
      <w:r w:rsidR="003D3692" w:rsidRPr="008F0B5F">
        <w:rPr>
          <w:rFonts w:ascii="Calibri" w:hAnsi="Calibri" w:cs="Calibri"/>
          <w:sz w:val="22"/>
          <w:szCs w:val="22"/>
        </w:rPr>
        <w:t>l</w:t>
      </w:r>
      <w:r w:rsidR="005D3AD5" w:rsidRPr="008F0B5F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01AC3528" w:rsidR="003D3692" w:rsidRPr="008F0B5F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8F0B5F">
        <w:rPr>
          <w:rFonts w:ascii="Calibri" w:hAnsi="Calibri" w:cs="Calibri"/>
          <w:sz w:val="22"/>
          <w:szCs w:val="22"/>
        </w:rPr>
        <w:t xml:space="preserve">rispettare le </w:t>
      </w:r>
      <w:r w:rsidR="003D3692" w:rsidRPr="008F0B5F">
        <w:rPr>
          <w:rFonts w:ascii="Calibri" w:hAnsi="Calibri" w:cs="Calibri"/>
          <w:sz w:val="22"/>
          <w:szCs w:val="22"/>
        </w:rPr>
        <w:t xml:space="preserve">indicazioni </w:t>
      </w:r>
      <w:r w:rsidR="00A95CA4" w:rsidRPr="008F0B5F">
        <w:rPr>
          <w:rFonts w:ascii="Calibri" w:hAnsi="Calibri" w:cs="Calibri"/>
          <w:sz w:val="22"/>
          <w:szCs w:val="22"/>
        </w:rPr>
        <w:t xml:space="preserve">relative </w:t>
      </w:r>
      <w:r w:rsidR="003D3692" w:rsidRPr="008F0B5F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 w:rsidRPr="008F0B5F">
        <w:rPr>
          <w:rFonts w:ascii="Calibri" w:hAnsi="Calibri" w:cs="Calibri"/>
          <w:sz w:val="22"/>
          <w:szCs w:val="22"/>
        </w:rPr>
        <w:t xml:space="preserve"> (</w:t>
      </w:r>
      <w:r w:rsidRPr="008F0B5F">
        <w:rPr>
          <w:rFonts w:ascii="Calibri" w:hAnsi="Calibri" w:cs="Calibri"/>
          <w:sz w:val="22"/>
          <w:szCs w:val="22"/>
        </w:rPr>
        <w:t xml:space="preserve">DNSH - </w:t>
      </w:r>
      <w:r w:rsidRPr="008F0B5F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8F0B5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8F0B5F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8F0B5F">
        <w:rPr>
          <w:rFonts w:ascii="Calibri" w:hAnsi="Calibri" w:cs="Calibri"/>
          <w:sz w:val="22"/>
          <w:szCs w:val="22"/>
        </w:rPr>
        <w:t>)</w:t>
      </w:r>
      <w:r w:rsidR="003D3692" w:rsidRPr="008F0B5F">
        <w:rPr>
          <w:rFonts w:ascii="Calibri" w:hAnsi="Calibri" w:cs="Calibri"/>
          <w:sz w:val="22"/>
          <w:szCs w:val="22"/>
        </w:rPr>
        <w:t>, ai sensi dell'art</w:t>
      </w:r>
      <w:r w:rsidR="0035656B" w:rsidRPr="008F0B5F">
        <w:rPr>
          <w:rFonts w:ascii="Calibri" w:hAnsi="Calibri" w:cs="Calibri"/>
          <w:sz w:val="22"/>
          <w:szCs w:val="22"/>
        </w:rPr>
        <w:t>.</w:t>
      </w:r>
      <w:r w:rsidR="003D3692" w:rsidRPr="008F0B5F">
        <w:rPr>
          <w:rFonts w:ascii="Calibri" w:hAnsi="Calibri" w:cs="Calibri"/>
          <w:sz w:val="22"/>
          <w:szCs w:val="22"/>
        </w:rPr>
        <w:t xml:space="preserve"> 17 del Reg. (UE) 2020/85;</w:t>
      </w:r>
    </w:p>
    <w:p w14:paraId="1946CF5E" w14:textId="7EF36FBD" w:rsidR="005D3AD5" w:rsidRPr="005D3AD5" w:rsidRDefault="005D3AD5" w:rsidP="008F0B5F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5A5F222B" w14:textId="15854DFB" w:rsidR="002A5CD7" w:rsidRPr="002A5CD7" w:rsidRDefault="003D3692" w:rsidP="002A5CD7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08140D51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F0B5F">
      <w:footerReference w:type="default" r:id="rId7"/>
      <w:pgSz w:w="12240" w:h="15840"/>
      <w:pgMar w:top="1417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10FAE39B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E7358" w:rsidRPr="009E7358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5785881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13AF0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A5CD7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1C2A"/>
    <w:rsid w:val="004766DD"/>
    <w:rsid w:val="00495766"/>
    <w:rsid w:val="00496193"/>
    <w:rsid w:val="004A3379"/>
    <w:rsid w:val="004A3ED2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34FF5"/>
    <w:rsid w:val="00747C34"/>
    <w:rsid w:val="0076566C"/>
    <w:rsid w:val="00787C13"/>
    <w:rsid w:val="00795149"/>
    <w:rsid w:val="00795785"/>
    <w:rsid w:val="0079757F"/>
    <w:rsid w:val="007C05A8"/>
    <w:rsid w:val="007D61F6"/>
    <w:rsid w:val="007D77B0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8F0B5F"/>
    <w:rsid w:val="00922F28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E735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12428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2025-11-24T13:39:00Z</dcterms:created>
  <dcterms:modified xsi:type="dcterms:W3CDTF">2025-11-24T13:39:00Z</dcterms:modified>
</cp:coreProperties>
</file>