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9"/>
        <w:rPr>
          <w:rFonts w:ascii="Cambria" w:cs="Cambria" w:hAnsi="Cambria" w:eastAsia="Cambria"/>
        </w:rPr>
      </w:pPr>
    </w:p>
    <w:p>
      <w:pPr>
        <w:pStyle w:val="Normal.0"/>
        <w:ind w:left="209" w:firstLine="0"/>
        <w:rPr>
          <w:rFonts w:ascii="Cambria" w:cs="Cambria" w:hAnsi="Cambria" w:eastAsia="Cambria"/>
        </w:rPr>
      </w:pPr>
      <w:r>
        <w:rPr>
          <w:rFonts w:ascii="Cambria" w:cs="Cambria" w:hAnsi="Cambria" w:eastAsia="Cambria"/>
        </w:rPr>
        <w:drawing>
          <wp:inline distT="0" distB="0" distL="0" distR="0">
            <wp:extent cx="3016886" cy="230296"/>
            <wp:effectExtent l="0" t="0" r="0" b="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886" cy="2302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mbria" w:cs="Cambria" w:hAnsi="Cambria" w:eastAsia="Cambria"/>
          <w:spacing w:val="0"/>
          <w:rtl w:val="0"/>
          <w:lang w:val="it-IT"/>
        </w:rPr>
        <w:t xml:space="preserve"> </w:t>
      </w:r>
      <w:r>
        <w:rPr>
          <w:rFonts w:ascii="Cambria" w:cs="Cambria" w:hAnsi="Cambria" w:eastAsia="Cambria"/>
          <w:spacing w:val="0"/>
          <w:position w:val="8"/>
        </w:rPr>
        <w:drawing>
          <wp:inline distT="0" distB="0" distL="0" distR="0">
            <wp:extent cx="3064443" cy="248258"/>
            <wp:effectExtent l="0" t="0" r="0" b="0"/>
            <wp:docPr id="1073741826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 descr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443" cy="2482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Text"/>
        <w:rPr>
          <w:rFonts w:ascii="Cambria" w:cs="Cambria" w:hAnsi="Cambria" w:eastAsia="Cambria"/>
        </w:rPr>
      </w:pPr>
      <w:r>
        <w:rPr>
          <w:rFonts w:ascii="Cambria" w:cs="Cambria" w:hAnsi="Cambria" w:eastAsia="Cambri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3607105</wp:posOffset>
            </wp:positionH>
            <wp:positionV relativeFrom="line">
              <wp:posOffset>161277</wp:posOffset>
            </wp:positionV>
            <wp:extent cx="343567" cy="384048"/>
            <wp:effectExtent l="0" t="0" r="0" b="0"/>
            <wp:wrapTopAndBottom distT="0" distB="0"/>
            <wp:docPr id="1073741827" name="officeArt object" descr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png" descr="image3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67" cy="3840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Text"/>
        <w:jc w:val="right"/>
        <w:rPr>
          <w:rFonts w:ascii="Cambria" w:cs="Cambria" w:hAnsi="Cambria" w:eastAsia="Cambria"/>
        </w:rPr>
      </w:pPr>
    </w:p>
    <w:p>
      <w:pPr>
        <w:pStyle w:val="Body Text"/>
        <w:jc w:val="center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it-IT"/>
        </w:rPr>
        <w:t xml:space="preserve">        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ISTITUTO COMPRENSIVO STATALE DI SCUOLA DELL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’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INFANZIA, PRIMARIA E SECONDARIA DI I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 xml:space="preserve">° 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 xml:space="preserve">GRADO 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“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G. FANCIULLI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 xml:space="preserve">” 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ARRONE</w:t>
      </w:r>
    </w:p>
    <w:p>
      <w:pPr>
        <w:pStyle w:val="Normal.0"/>
        <w:spacing w:line="276" w:lineRule="auto"/>
        <w:ind w:right="60"/>
        <w:jc w:val="center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it-IT"/>
        </w:rPr>
        <w:t xml:space="preserve">VIA MATTEOTTI, 3/A </w:t>
      </w:r>
      <w:r>
        <w:rPr>
          <w:rFonts w:ascii="Cambria" w:cs="Cambria" w:hAnsi="Cambria" w:eastAsia="Cambria"/>
          <w:rtl w:val="0"/>
          <w:lang w:val="it-IT"/>
        </w:rPr>
        <w:t xml:space="preserve">– </w:t>
      </w:r>
      <w:r>
        <w:rPr>
          <w:rFonts w:ascii="Cambria" w:cs="Cambria" w:hAnsi="Cambria" w:eastAsia="Cambria"/>
          <w:rtl w:val="0"/>
          <w:lang w:val="it-IT"/>
        </w:rPr>
        <w:t>05031 ARRONE</w:t>
      </w:r>
    </w:p>
    <w:p>
      <w:pPr>
        <w:pStyle w:val="Normal.0"/>
        <w:spacing w:line="276" w:lineRule="auto"/>
        <w:ind w:right="60"/>
        <w:jc w:val="center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it-IT"/>
        </w:rPr>
        <w:t>Tel. 0744/387711 fax 0744/387729</w:t>
      </w:r>
    </w:p>
    <w:p>
      <w:pPr>
        <w:pStyle w:val="Normal.0"/>
        <w:spacing w:line="276" w:lineRule="auto"/>
        <w:ind w:right="40"/>
        <w:jc w:val="center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it-IT"/>
        </w:rPr>
        <w:t xml:space="preserve">E- mail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"mailto:tric80@tiscalinet.it"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tric803002@istruzione.it</w:t>
      </w:r>
      <w:r>
        <w:rPr/>
        <w:fldChar w:fldCharType="end" w:fldLock="0"/>
      </w:r>
    </w:p>
    <w:p>
      <w:pPr>
        <w:pStyle w:val="Normal.0"/>
        <w:spacing w:line="276" w:lineRule="auto"/>
        <w:ind w:right="40"/>
        <w:jc w:val="center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it-IT"/>
        </w:rPr>
        <w:t>C.F.91025670554</w:t>
      </w:r>
    </w:p>
    <w:p>
      <w:pPr>
        <w:pStyle w:val="Body Text"/>
        <w:spacing w:before="9"/>
        <w:jc w:val="right"/>
        <w:rPr>
          <w:rFonts w:ascii="Cambria" w:cs="Cambria" w:hAnsi="Cambria" w:eastAsia="Cambria"/>
          <w:sz w:val="24"/>
          <w:szCs w:val="24"/>
        </w:rPr>
      </w:pPr>
    </w:p>
    <w:p>
      <w:pPr>
        <w:pStyle w:val="Body Text"/>
        <w:spacing w:before="9"/>
        <w:jc w:val="righ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Allegato B - tutor</w:t>
      </w:r>
    </w:p>
    <w:p>
      <w:pPr>
        <w:pStyle w:val="Body Text"/>
        <w:spacing w:before="9"/>
        <w:jc w:val="right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Avviso per la selezione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interna/esterna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 all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Istituto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 volta al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conferimento di n.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3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 incarichi di docente esperto e n.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3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 incarichi di docente tutor,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per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tre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 corsi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di Robotica con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Arduino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 di cui uno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per le classi della scuola secondaria di primo grado di Arrone, uno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per le classi della scuola secondaria di primo grado di Ferentillo e uno per le classi di scuola primaria di Arrone e Montefranco.</w:t>
      </w:r>
      <w:r>
        <w:rPr>
          <w:rFonts w:ascii="Arial" w:hAnsi="Arial"/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i w:val="1"/>
          <w:iCs w:val="1"/>
          <w:sz w:val="24"/>
          <w:szCs w:val="24"/>
        </w:rPr>
      </w:pPr>
      <w:r>
        <w:rPr>
          <w:rFonts w:ascii="Arial" w:hAnsi="Arial"/>
          <w:i w:val="1"/>
          <w:iCs w:val="1"/>
          <w:sz w:val="24"/>
          <w:szCs w:val="24"/>
          <w:rtl w:val="0"/>
          <w:lang w:val="it-IT"/>
        </w:rPr>
        <w:t>Linea di intervento A - Realizzazione di percorsi didattici, formativi e di orientamento per studentesse e studenti finalizzati a promuovere l</w:t>
      </w:r>
      <w:r>
        <w:rPr>
          <w:rFonts w:ascii="Arial" w:hAnsi="Arial" w:hint="default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24"/>
          <w:szCs w:val="24"/>
          <w:rtl w:val="0"/>
          <w:lang w:val="it-IT"/>
        </w:rPr>
        <w:t>integrazione, all</w:t>
      </w:r>
      <w:r>
        <w:rPr>
          <w:rFonts w:ascii="Arial" w:hAnsi="Arial" w:hint="default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24"/>
          <w:szCs w:val="24"/>
          <w:rtl w:val="0"/>
          <w:lang w:val="it-IT"/>
        </w:rPr>
        <w:t>interno dei curricula di tutti i cicli scolastici, di attivit</w:t>
      </w:r>
      <w:r>
        <w:rPr>
          <w:rFonts w:ascii="Arial" w:hAnsi="Arial" w:hint="default"/>
          <w:i w:val="1"/>
          <w:iCs w:val="1"/>
          <w:sz w:val="24"/>
          <w:szCs w:val="24"/>
          <w:rtl w:val="0"/>
          <w:lang w:val="it-IT"/>
        </w:rPr>
        <w:t>à</w:t>
      </w:r>
      <w:r>
        <w:rPr>
          <w:rFonts w:ascii="Arial" w:hAnsi="Arial"/>
          <w:i w:val="1"/>
          <w:iCs w:val="1"/>
          <w:sz w:val="24"/>
          <w:szCs w:val="24"/>
          <w:rtl w:val="0"/>
          <w:lang w:val="it-IT"/>
        </w:rPr>
        <w:t>, metodologie e contenuti volti a sviluppare le competenze STEM, digitali e di innovazione, nonch</w:t>
      </w:r>
      <w:r>
        <w:rPr>
          <w:rFonts w:ascii="Arial" w:hAnsi="Arial" w:hint="default"/>
          <w:i w:val="1"/>
          <w:iCs w:val="1"/>
          <w:sz w:val="24"/>
          <w:szCs w:val="24"/>
          <w:rtl w:val="0"/>
          <w:lang w:val="it-IT"/>
        </w:rPr>
        <w:t xml:space="preserve">é </w:t>
      </w:r>
      <w:r>
        <w:rPr>
          <w:rFonts w:ascii="Arial" w:hAnsi="Arial"/>
          <w:i w:val="1"/>
          <w:iCs w:val="1"/>
          <w:sz w:val="24"/>
          <w:szCs w:val="24"/>
          <w:rtl w:val="0"/>
          <w:lang w:val="it-IT"/>
        </w:rPr>
        <w:t>quelle linguistiche, garantendo pari opportunit</w:t>
      </w:r>
      <w:r>
        <w:rPr>
          <w:rFonts w:ascii="Arial" w:hAnsi="Arial" w:hint="default"/>
          <w:i w:val="1"/>
          <w:iCs w:val="1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4"/>
          <w:szCs w:val="24"/>
          <w:rtl w:val="0"/>
          <w:lang w:val="it-IT"/>
        </w:rPr>
        <w:t>e parit</w:t>
      </w:r>
      <w:r>
        <w:rPr>
          <w:rFonts w:ascii="Arial" w:hAnsi="Arial" w:hint="default"/>
          <w:i w:val="1"/>
          <w:iCs w:val="1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4"/>
          <w:szCs w:val="24"/>
          <w:rtl w:val="0"/>
          <w:lang w:val="it-IT"/>
        </w:rPr>
        <w:t>di genere in termini di approccio metodologico e di attivit</w:t>
      </w:r>
      <w:r>
        <w:rPr>
          <w:rFonts w:ascii="Arial" w:hAnsi="Arial" w:hint="default"/>
          <w:i w:val="1"/>
          <w:iCs w:val="1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4"/>
          <w:szCs w:val="24"/>
          <w:rtl w:val="0"/>
          <w:lang w:val="it-IT"/>
        </w:rPr>
        <w:t xml:space="preserve">di orientamento STEM.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Piano Nazionale di Ripresa e Resilienza - Missione </w:t>
      </w:r>
      <w:r>
        <w:rPr>
          <w:rFonts w:ascii="Arial" w:hAnsi="Arial"/>
          <w:sz w:val="24"/>
          <w:szCs w:val="24"/>
          <w:rtl w:val="0"/>
          <w:lang w:val="it-IT"/>
        </w:rPr>
        <w:t>4: Istruzione e ricerca</w:t>
      </w:r>
      <w:r>
        <w:rPr>
          <w:rFonts w:ascii="Arial" w:hAnsi="Arial"/>
          <w:sz w:val="24"/>
          <w:szCs w:val="24"/>
          <w:rtl w:val="0"/>
          <w:lang w:val="it-IT"/>
        </w:rPr>
        <w:t xml:space="preserve"> - Componente 1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– </w:t>
      </w:r>
      <w:r>
        <w:rPr>
          <w:rFonts w:ascii="Arial" w:hAnsi="Arial"/>
          <w:sz w:val="24"/>
          <w:szCs w:val="24"/>
          <w:rtl w:val="0"/>
          <w:lang w:val="it-IT"/>
        </w:rPr>
        <w:t>Potenziamento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offerta dei servizi di istruzione: dagli asili nido alle Universit</w:t>
      </w:r>
      <w:r>
        <w:rPr>
          <w:rFonts w:ascii="Arial" w:hAnsi="Arial" w:hint="default"/>
          <w:sz w:val="24"/>
          <w:szCs w:val="24"/>
          <w:rtl w:val="0"/>
          <w:lang w:val="it-IT"/>
        </w:rPr>
        <w:t>à</w:t>
      </w:r>
      <w:r>
        <w:rPr>
          <w:rFonts w:ascii="Arial" w:hAnsi="Arial"/>
          <w:sz w:val="24"/>
          <w:szCs w:val="24"/>
          <w:rtl w:val="0"/>
          <w:lang w:val="it-IT"/>
        </w:rPr>
        <w:t xml:space="preserve">.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Investimento </w:t>
      </w:r>
      <w:r>
        <w:rPr>
          <w:rFonts w:ascii="Arial" w:hAnsi="Arial"/>
          <w:sz w:val="24"/>
          <w:szCs w:val="24"/>
          <w:rtl w:val="0"/>
          <w:lang w:val="it-IT"/>
        </w:rPr>
        <w:t>3</w:t>
      </w:r>
      <w:r>
        <w:rPr>
          <w:rFonts w:ascii="Arial" w:hAnsi="Arial"/>
          <w:sz w:val="24"/>
          <w:szCs w:val="24"/>
          <w:rtl w:val="0"/>
          <w:lang w:val="it-IT"/>
        </w:rPr>
        <w:t>.</w:t>
      </w:r>
      <w:r>
        <w:rPr>
          <w:rFonts w:ascii="Arial" w:hAnsi="Arial"/>
          <w:sz w:val="24"/>
          <w:szCs w:val="24"/>
          <w:rtl w:val="0"/>
          <w:lang w:val="it-IT"/>
        </w:rPr>
        <w:t xml:space="preserve">1.: Nuove competenze e nuovi linguaggi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Azioni di potenziamento delle competenze STEM e multilinguistiche (D.M. 65/2023) </w:t>
      </w:r>
    </w:p>
    <w:p>
      <w:pPr>
        <w:pStyle w:val="Normal.0"/>
        <w:widowControl w:val="1"/>
        <w:suppressAutoHyphens w:val="1"/>
        <w:spacing w:line="20" w:lineRule="atLeast"/>
        <w:ind w:left="900" w:firstLine="0"/>
        <w:jc w:val="both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Codice avviso progetto: </w:t>
      </w:r>
      <w:r>
        <w:rPr>
          <w:rFonts w:ascii="Arial" w:hAnsi="Arial"/>
          <w:sz w:val="24"/>
          <w:szCs w:val="24"/>
          <w:rtl w:val="0"/>
          <w:lang w:val="it-IT"/>
        </w:rPr>
        <w:t>M4C1I3.1-2023-1143-P-30199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CUP: </w:t>
      </w:r>
      <w:r>
        <w:rPr>
          <w:rFonts w:ascii="Arial" w:hAnsi="Arial"/>
          <w:sz w:val="24"/>
          <w:szCs w:val="24"/>
          <w:rtl w:val="0"/>
          <w:lang w:val="it-IT"/>
        </w:rPr>
        <w:t>C44D23001650006</w:t>
      </w:r>
    </w:p>
    <w:p>
      <w:pPr>
        <w:pStyle w:val="Normal.0"/>
        <w:widowControl w:val="1"/>
        <w:suppressAutoHyphens w:val="1"/>
        <w:spacing w:line="20" w:lineRule="atLeast"/>
        <w:ind w:left="900" w:firstLine="0"/>
        <w:jc w:val="both"/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I titoli saranno cosi valutati: </w:t>
      </w:r>
    </w:p>
    <w:p>
      <w:pPr>
        <w:pStyle w:val="Normal.0"/>
        <w:shd w:val="clear" w:color="auto" w:fill="ffffff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rPr>
          <w:rFonts w:ascii="Arial" w:cs="Arial" w:hAnsi="Arial" w:eastAsia="Arial"/>
        </w:rPr>
      </w:pPr>
    </w:p>
    <w:tbl>
      <w:tblPr>
        <w:tblW w:w="971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91"/>
        <w:gridCol w:w="1886"/>
        <w:gridCol w:w="1801"/>
        <w:gridCol w:w="2123"/>
        <w:gridCol w:w="2216"/>
      </w:tblGrid>
      <w:tr>
        <w:tblPrEx>
          <w:shd w:val="clear" w:color="auto" w:fill="ced7e7"/>
        </w:tblPrEx>
        <w:trPr>
          <w:trHeight w:val="673" w:hRule="atLeast"/>
        </w:trPr>
        <w:tc>
          <w:tcPr>
            <w:tcW w:type="dxa" w:w="16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top"/>
          </w:tcPr>
          <w:p>
            <w:pPr>
              <w:pStyle w:val="Body Text"/>
              <w:ind w:left="132" w:right="173" w:firstLine="0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CRITERI DI SELEZIONE</w:t>
            </w:r>
          </w:p>
        </w:tc>
        <w:tc>
          <w:tcPr>
            <w:tcW w:type="dxa" w:w="188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top"/>
          </w:tcPr>
          <w:p>
            <w:pPr>
              <w:pStyle w:val="Body Text"/>
              <w:ind w:left="132" w:right="173" w:firstLine="0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CRITERI DI VALUTAZIONE</w:t>
            </w:r>
          </w:p>
        </w:tc>
        <w:tc>
          <w:tcPr>
            <w:tcW w:type="dxa" w:w="1801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top"/>
          </w:tcPr>
          <w:p>
            <w:pPr>
              <w:pStyle w:val="Body Text"/>
              <w:ind w:left="132" w:right="173" w:firstLine="0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MODALIT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it-IT"/>
              </w:rPr>
              <w:t xml:space="preserve">À </w:t>
            </w: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DI VALUTAZIONE</w:t>
            </w:r>
          </w:p>
        </w:tc>
        <w:tc>
          <w:tcPr>
            <w:tcW w:type="dxa" w:w="212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top"/>
          </w:tcPr>
          <w:p>
            <w:pPr>
              <w:pStyle w:val="Body Text"/>
              <w:ind w:left="132" w:right="173" w:firstLine="0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PUNTEGGIO</w:t>
            </w: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 xml:space="preserve"> ATTRIBUITO DAL CANDIDATO</w:t>
            </w:r>
          </w:p>
        </w:tc>
        <w:tc>
          <w:tcPr>
            <w:tcW w:type="dxa" w:w="22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top"/>
          </w:tcPr>
          <w:p>
            <w:pPr>
              <w:pStyle w:val="Body Text"/>
              <w:ind w:left="132" w:right="173" w:firstLine="0"/>
              <w:jc w:val="center"/>
            </w:pP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PUNTEGGIO</w:t>
            </w: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 xml:space="preserve"> VALUTATO DALLA COMMISSIONE</w:t>
            </w:r>
          </w:p>
        </w:tc>
      </w:tr>
      <w:tr>
        <w:tblPrEx>
          <w:shd w:val="clear" w:color="auto" w:fill="ced7e7"/>
        </w:tblPrEx>
        <w:trPr>
          <w:trHeight w:val="2873" w:hRule="atLeast"/>
        </w:trPr>
        <w:tc>
          <w:tcPr>
            <w:tcW w:type="dxa" w:w="16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it-IT"/>
              </w:rPr>
              <w:t xml:space="preserve">Esperienza professionale </w:t>
            </w:r>
          </w:p>
          <w:p>
            <w:pPr>
              <w:pStyle w:val="Normal.0"/>
              <w:shd w:val="clear" w:color="auto" w:fill="ffffff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18"/>
                <w:szCs w:val="18"/>
                <w:rtl w:val="0"/>
                <w:lang w:val="it-IT"/>
              </w:rPr>
              <w:t>(Da valutare alla luce del curriculum vitae)</w:t>
            </w:r>
          </w:p>
        </w:tc>
        <w:tc>
          <w:tcPr>
            <w:tcW w:type="dxa" w:w="188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Esperienza professionale maturata in Progetti Europei in posizioni analoghe a quella per cui  ci si candida  (</w:t>
            </w:r>
            <w:r>
              <w:rPr>
                <w:rFonts w:ascii="Arial" w:hAnsi="Arial"/>
                <w:i w:val="1"/>
                <w:iCs w:val="1"/>
                <w:sz w:val="20"/>
                <w:szCs w:val="20"/>
                <w:rtl w:val="0"/>
                <w:lang w:val="it-IT"/>
              </w:rPr>
              <w:t>fino a un massimo di 4 esperienze valutate)</w:t>
            </w:r>
          </w:p>
        </w:tc>
        <w:tc>
          <w:tcPr>
            <w:tcW w:type="dxa" w:w="1801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 xml:space="preserve">n. 2,5  punti per ciascuna esperienza </w:t>
            </w:r>
          </w:p>
          <w:p>
            <w:pPr>
              <w:pStyle w:val="Normal.0"/>
              <w:jc w:val="both"/>
            </w:pPr>
            <w:r>
              <w:rPr>
                <w:rFonts w:ascii="Cambria" w:cs="Cambria" w:hAnsi="Cambria" w:eastAsia="Cambria"/>
                <w:lang w:val="it-IT"/>
              </w:rPr>
            </w:r>
          </w:p>
        </w:tc>
        <w:tc>
          <w:tcPr>
            <w:tcW w:type="dxa" w:w="212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  <w:tc>
          <w:tcPr>
            <w:tcW w:type="dxa" w:w="22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793" w:hRule="atLeast"/>
        </w:trPr>
        <w:tc>
          <w:tcPr>
            <w:tcW w:type="dxa" w:w="16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it-IT"/>
              </w:rPr>
              <w:t xml:space="preserve">Certificazioni informatiche </w:t>
            </w:r>
          </w:p>
          <w:p>
            <w:pPr>
              <w:pStyle w:val="Normal.0"/>
              <w:shd w:val="clear" w:color="auto" w:fill="ffffff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18"/>
                <w:szCs w:val="18"/>
                <w:rtl w:val="0"/>
                <w:lang w:val="it-IT"/>
              </w:rPr>
              <w:t>(Da valutare alla luce del curriculum vitae)</w:t>
            </w:r>
          </w:p>
        </w:tc>
        <w:tc>
          <w:tcPr>
            <w:tcW w:type="dxa" w:w="188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Certificazioni informatiche riconosciute dal MIM</w:t>
            </w:r>
          </w:p>
          <w:p>
            <w:pPr>
              <w:pStyle w:val="Body Text"/>
              <w:bidi w:val="0"/>
              <w:ind w:left="132" w:right="173" w:firstLine="0"/>
              <w:jc w:val="left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20"/>
                <w:szCs w:val="20"/>
                <w:rtl w:val="0"/>
                <w:lang w:val="it-IT"/>
              </w:rPr>
              <w:t>(fino a un massimo di 4 certificazioni valutate)</w:t>
            </w:r>
          </w:p>
        </w:tc>
        <w:tc>
          <w:tcPr>
            <w:tcW w:type="dxa" w:w="1801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 xml:space="preserve">n. 2,5  punti per ciascuna certificazione </w:t>
            </w:r>
          </w:p>
          <w:p>
            <w:pPr>
              <w:pStyle w:val="Normal.0"/>
              <w:jc w:val="both"/>
            </w:pPr>
            <w:r>
              <w:rPr>
                <w:rFonts w:ascii="Cambria" w:cs="Cambria" w:hAnsi="Cambria" w:eastAsia="Cambria"/>
                <w:lang w:val="it-IT"/>
              </w:rPr>
            </w:r>
          </w:p>
        </w:tc>
        <w:tc>
          <w:tcPr>
            <w:tcW w:type="dxa" w:w="212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  <w:tc>
          <w:tcPr>
            <w:tcW w:type="dxa" w:w="22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93" w:hRule="atLeast"/>
        </w:trPr>
        <w:tc>
          <w:tcPr>
            <w:tcW w:type="dxa" w:w="169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it-IT"/>
              </w:rPr>
              <w:t>Anzianit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it-IT"/>
              </w:rPr>
              <w:t xml:space="preserve">à 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it-IT"/>
              </w:rPr>
              <w:t xml:space="preserve">di servizio </w:t>
            </w:r>
          </w:p>
        </w:tc>
        <w:tc>
          <w:tcPr>
            <w:tcW w:type="dxa" w:w="188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01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n. 0,5 punti per ogni anno di docenza svolto presso l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it-IT"/>
              </w:rPr>
              <w:t>’</w:t>
            </w: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istituto sia come docente di ruolo che come docente a tempo determinato (al 30.06 o 31.08). Massimo 10 anni</w:t>
            </w:r>
          </w:p>
        </w:tc>
        <w:tc>
          <w:tcPr>
            <w:tcW w:type="dxa" w:w="212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  <w:tc>
          <w:tcPr>
            <w:tcW w:type="dxa" w:w="22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/>
        </w:tc>
      </w:tr>
    </w:tbl>
    <w:p>
      <w:pPr>
        <w:pStyle w:val="Normal.0"/>
        <w:shd w:val="clear" w:color="auto" w:fill="ffffff"/>
        <w:rPr>
          <w:rFonts w:ascii="Arial" w:cs="Arial" w:hAnsi="Arial" w:eastAsia="Arial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Il sottoscritto consapevole che le dichiarazioni mendaci, la falsit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nella formazione degli atti e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uso di atti falsi comportano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applicazione delle sanzioni penali previste dal art. 19 comma 6 della legge 241/1990 e ss.mm.ii., nonch</w:t>
      </w:r>
      <w:r>
        <w:rPr>
          <w:rFonts w:ascii="Arial" w:hAnsi="Arial" w:hint="default"/>
          <w:rtl w:val="0"/>
          <w:lang w:val="it-IT"/>
        </w:rPr>
        <w:t xml:space="preserve">é </w:t>
      </w:r>
      <w:r>
        <w:rPr>
          <w:rFonts w:ascii="Arial" w:hAnsi="Arial"/>
          <w:rtl w:val="0"/>
          <w:lang w:val="it-IT"/>
        </w:rPr>
        <w:t xml:space="preserve">di quanto previsto dal DPR 445/2000 e ss.mm.ii.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Data </w:t>
        <w:tab/>
        <w:tab/>
        <w:tab/>
        <w:tab/>
        <w:tab/>
        <w:tab/>
        <w:tab/>
        <w:tab/>
        <w:tab/>
        <w:tab/>
        <w:tab/>
        <w:t>Firma</w:t>
        <w:tab/>
        <w:tab/>
        <w:tab/>
        <w:tab/>
        <w:tab/>
        <w:tab/>
        <w:tab/>
        <w:tab/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Di default"/>
        <w:bidi w:val="0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color w:val="212529"/>
          <w:sz w:val="29"/>
          <w:szCs w:val="29"/>
          <w:rtl w:val="0"/>
        </w:rPr>
      </w:r>
    </w:p>
    <w:sectPr>
      <w:headerReference w:type="default" r:id="rId7"/>
      <w:footerReference w:type="default" r:id="rId8"/>
      <w:pgSz w:w="11920" w:h="16840" w:orient="portrait"/>
      <w:pgMar w:top="1320" w:right="980" w:bottom="640" w:left="1020" w:header="384" w:footer="44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ucida Sans Unicod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cida Sans Unicode" w:cs="Lucida Sans Unicode" w:hAnsi="Lucida Sans Unicode" w:eastAsia="Lucida Sans Unicod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cida Sans Unicode" w:cs="Lucida Sans Unicode" w:hAnsi="Lucida Sans Unicode" w:eastAsia="Lucida Sans Unicod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character" w:styleId="Link">
    <w:name w:val="Link"/>
    <w:rPr>
      <w:color w:val="000080"/>
      <w:u w:val="single" w:color="000080"/>
    </w:rPr>
  </w:style>
  <w:style w:type="character" w:styleId="Hyperlink.0">
    <w:name w:val="Hyperlink.0"/>
    <w:basedOn w:val="Link"/>
    <w:next w:val="Hyperlink.0"/>
    <w:rPr>
      <w:rFonts w:ascii="Cambria" w:cs="Cambria" w:hAnsi="Cambria" w:eastAsia="Cambria"/>
      <w:color w:val="0000ff"/>
      <w:u w:color="0000ff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