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essuno"/>
          <w:rFonts w:ascii="Garamond" w:hAnsi="Garamond"/>
          <w:b w:val="1"/>
          <w:bCs w:val="1"/>
          <w:sz w:val="28"/>
          <w:szCs w:val="28"/>
          <w:rtl w:val="0"/>
          <w:lang w:val="it-IT"/>
        </w:rPr>
        <w:t>PATTO DI INTEGRITA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>’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  <w:b w:val="1"/>
          <w:bCs w:val="1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tra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 xml:space="preserve">I.C. </w:t>
      </w:r>
      <w:r>
        <w:rPr>
          <w:rStyle w:val="Nessuno"/>
          <w:rFonts w:ascii="Garamond" w:hAnsi="Garamond" w:hint="default"/>
          <w:rtl w:val="0"/>
          <w:lang w:val="it-IT"/>
        </w:rPr>
        <w:t>“</w:t>
      </w:r>
      <w:r>
        <w:rPr>
          <w:rStyle w:val="Nessuno"/>
          <w:rFonts w:ascii="Garamond" w:hAnsi="Garamond"/>
          <w:rtl w:val="0"/>
          <w:lang w:val="it-IT"/>
        </w:rPr>
        <w:t>G. Fanciulli</w:t>
      </w:r>
      <w:r>
        <w:rPr>
          <w:rStyle w:val="Nessuno"/>
          <w:rFonts w:ascii="Garamond" w:hAnsi="Garamond" w:hint="default"/>
          <w:rtl w:val="0"/>
          <w:lang w:val="it-IT"/>
        </w:rPr>
        <w:t xml:space="preserve">” </w:t>
      </w:r>
      <w:r>
        <w:rPr>
          <w:rStyle w:val="Nessuno"/>
          <w:rFonts w:ascii="Garamond" w:hAnsi="Garamond"/>
          <w:rtl w:val="0"/>
          <w:lang w:val="it-IT"/>
        </w:rPr>
        <w:t>di Arrone (TR) (</w:t>
      </w:r>
      <w:r>
        <w:rPr>
          <w:rtl w:val="0"/>
          <w:lang w:val="it-IT"/>
        </w:rPr>
        <w:t>C.F.91025670554</w:t>
      </w:r>
      <w:r>
        <w:rPr>
          <w:rStyle w:val="Nessuno"/>
          <w:rFonts w:ascii="Garamond" w:hAnsi="Garamond"/>
          <w:rtl w:val="0"/>
          <w:lang w:val="it-IT"/>
        </w:rPr>
        <w:t>)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e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la Ditta </w:t>
      </w:r>
      <w:r>
        <w:rPr>
          <w:rStyle w:val="Nessuno"/>
          <w:rFonts w:ascii="Garamond" w:hAnsi="Garamond" w:hint="default"/>
          <w:rtl w:val="0"/>
          <w:lang w:val="it-IT"/>
        </w:rPr>
        <w:t>…………………</w:t>
      </w:r>
      <w:r>
        <w:rPr>
          <w:rStyle w:val="Nessuno"/>
          <w:rFonts w:ascii="Garamond" w:hAnsi="Garamond"/>
          <w:rtl w:val="0"/>
          <w:lang w:val="it-IT"/>
        </w:rPr>
        <w:t>..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rtl w:val="0"/>
          <w:lang w:val="it-IT"/>
        </w:rPr>
        <w:t>. (di seguito denominata Ditta),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sede legale in 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…………………………</w:t>
      </w:r>
      <w:r>
        <w:rPr>
          <w:rStyle w:val="Nessuno"/>
          <w:rFonts w:ascii="Garamond" w:hAnsi="Garamond"/>
          <w:rtl w:val="0"/>
          <w:lang w:val="it-IT"/>
        </w:rPr>
        <w:t xml:space="preserve">.., via 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rtl w:val="0"/>
          <w:lang w:val="it-IT"/>
        </w:rPr>
        <w:t>.</w:t>
      </w:r>
      <w:r>
        <w:rPr>
          <w:rStyle w:val="Nessuno"/>
          <w:rFonts w:ascii="Garamond" w:hAnsi="Garamond" w:hint="default"/>
          <w:rtl w:val="0"/>
          <w:lang w:val="it-IT"/>
        </w:rPr>
        <w:t>……</w:t>
      </w:r>
      <w:r>
        <w:rPr>
          <w:rStyle w:val="Nessuno"/>
          <w:rFonts w:ascii="Garamond" w:hAnsi="Garamond"/>
          <w:rtl w:val="0"/>
          <w:lang w:val="it-IT"/>
        </w:rPr>
        <w:t>n</w:t>
      </w:r>
      <w:r>
        <w:rPr>
          <w:rStyle w:val="Nessuno"/>
          <w:rFonts w:ascii="Garamond" w:hAnsi="Garamond" w:hint="default"/>
          <w:rtl w:val="0"/>
          <w:lang w:val="it-IT"/>
        </w:rPr>
        <w:t>……</w:t>
      </w:r>
      <w:r>
        <w:rPr>
          <w:rStyle w:val="Nessuno"/>
          <w:rFonts w:ascii="Garamond" w:hAnsi="Garamond"/>
          <w:rtl w:val="0"/>
          <w:lang w:val="it-IT"/>
        </w:rPr>
        <w:t>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codice fiscale/P.IVA 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</w:t>
      </w:r>
      <w:r>
        <w:rPr>
          <w:rStyle w:val="Nessuno"/>
          <w:rFonts w:ascii="Garamond" w:hAnsi="Garamond"/>
          <w:rtl w:val="0"/>
          <w:lang w:val="it-IT"/>
        </w:rPr>
        <w:t>.</w:t>
      </w:r>
      <w:r>
        <w:rPr>
          <w:rStyle w:val="Nessuno"/>
          <w:rFonts w:ascii="Garamond" w:hAnsi="Garamond" w:hint="default"/>
          <w:rtl w:val="0"/>
          <w:lang w:val="it-IT"/>
        </w:rPr>
        <w:t>………</w:t>
      </w:r>
      <w:r>
        <w:rPr>
          <w:rStyle w:val="Nessuno"/>
          <w:rFonts w:ascii="Garamond" w:hAnsi="Garamond"/>
          <w:rtl w:val="0"/>
          <w:lang w:val="it-IT"/>
        </w:rPr>
        <w:t xml:space="preserve">., rappresentata da 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……………………………</w:t>
      </w:r>
      <w:r>
        <w:rPr>
          <w:rStyle w:val="Nessuno"/>
          <w:rFonts w:ascii="Garamond" w:hAnsi="Garamond"/>
          <w:rtl w:val="0"/>
          <w:lang w:val="it-IT"/>
        </w:rPr>
        <w:t>..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 w:hint="default"/>
          <w:rtl w:val="0"/>
          <w:lang w:val="it-IT"/>
        </w:rPr>
        <w:t>………………………………</w:t>
      </w:r>
      <w:r>
        <w:rPr>
          <w:rStyle w:val="Nessuno"/>
          <w:rFonts w:ascii="Garamond" w:hAnsi="Garamond"/>
          <w:rtl w:val="0"/>
          <w:lang w:val="it-IT"/>
        </w:rPr>
        <w:t>.... in qualit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 xml:space="preserve">di </w:t>
      </w:r>
      <w:r>
        <w:rPr>
          <w:rStyle w:val="Nessuno"/>
          <w:rFonts w:ascii="Garamond" w:hAnsi="Garamond" w:hint="default"/>
          <w:rtl w:val="0"/>
          <w:lang w:val="it-IT"/>
        </w:rPr>
        <w:t>………</w:t>
      </w:r>
      <w:r>
        <w:rPr>
          <w:rStyle w:val="Nessuno"/>
          <w:rFonts w:ascii="Garamond" w:hAnsi="Garamond"/>
          <w:rtl w:val="0"/>
          <w:lang w:val="it-IT"/>
        </w:rPr>
        <w:t>..</w:t>
      </w:r>
      <w:r>
        <w:rPr>
          <w:rStyle w:val="Nessuno"/>
          <w:rFonts w:ascii="Garamond" w:hAnsi="Garamond" w:hint="default"/>
          <w:rtl w:val="0"/>
          <w:lang w:val="it-IT"/>
        </w:rPr>
        <w:t>……………………………………………</w:t>
      </w:r>
      <w:r>
        <w:rPr>
          <w:rStyle w:val="Nessuno"/>
          <w:rFonts w:ascii="Garamond" w:hAnsi="Garamond"/>
          <w:rtl w:val="0"/>
          <w:lang w:val="it-IT"/>
        </w:rPr>
        <w:t>..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</w:rPr>
      </w:pPr>
      <w:r>
        <w:rPr>
          <w:rStyle w:val="Nessuno"/>
          <w:rFonts w:ascii="Garamond" w:hAnsi="Garamond"/>
          <w:b w:val="1"/>
          <w:bCs w:val="1"/>
          <w:i w:val="1"/>
          <w:iCs w:val="1"/>
          <w:rtl w:val="0"/>
          <w:lang w:val="it-IT"/>
        </w:rPr>
        <w:t>Il presente documento deve essere obbligatoriamente sottoscritto e presentato insieme all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rtl w:val="0"/>
          <w:lang w:val="it-IT"/>
        </w:rPr>
        <w:t>offerta da ciascun partecipante alla gara in oggetto. La mancata consegna del presente documento debitamente sottoscritto comporter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i w:val="1"/>
          <w:iCs w:val="1"/>
          <w:rtl w:val="0"/>
          <w:lang w:val="it-IT"/>
        </w:rPr>
        <w:t>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rtl w:val="0"/>
          <w:lang w:val="it-IT"/>
        </w:rPr>
        <w:t>esclusione automatica dalla gara.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VISTO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- La legge 6 novembre 2012 n. 190, art. 1, comma 17 recante </w:t>
      </w:r>
      <w:r>
        <w:rPr>
          <w:rStyle w:val="Nessuno"/>
          <w:rFonts w:ascii="Garamond" w:hAnsi="Garamond" w:hint="default"/>
          <w:rtl w:val="0"/>
          <w:lang w:val="it-IT"/>
        </w:rPr>
        <w:t>“</w:t>
      </w:r>
      <w:r>
        <w:rPr>
          <w:rStyle w:val="Nessuno"/>
          <w:rFonts w:ascii="Garamond" w:hAnsi="Garamond"/>
          <w:rtl w:val="0"/>
          <w:lang w:val="it-IT"/>
        </w:rPr>
        <w:t>Disposizioni per la prevenzione e la repressione della corruzione e dell'illegalit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nella pubblica amministrazione</w:t>
      </w:r>
      <w:r>
        <w:rPr>
          <w:rStyle w:val="Nessuno"/>
          <w:rFonts w:ascii="Garamond" w:hAnsi="Garamond" w:hint="default"/>
          <w:rtl w:val="0"/>
          <w:lang w:val="it-IT"/>
        </w:rPr>
        <w:t>”</w:t>
      </w:r>
      <w:r>
        <w:rPr>
          <w:rStyle w:val="Nessuno"/>
          <w:rFonts w:ascii="Garamond" w:hAnsi="Garamond"/>
          <w:rtl w:val="0"/>
          <w:lang w:val="it-IT"/>
        </w:rPr>
        <w:t>;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- il Piano Nazionale Anticorruzione (P.N.A.) emanato dall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 xml:space="preserve">Nazionale AntiCorruzione e per la valutazione e la trasparenza delle amministrazioni pubbliche (ex CIVIT) approvato con delibera n. 72/2013, contenente </w:t>
      </w:r>
      <w:r>
        <w:rPr>
          <w:rStyle w:val="Nessuno"/>
          <w:rFonts w:ascii="Garamond" w:hAnsi="Garamond" w:hint="default"/>
          <w:rtl w:val="0"/>
          <w:lang w:val="it-IT"/>
        </w:rPr>
        <w:t>“</w:t>
      </w:r>
      <w:r>
        <w:rPr>
          <w:rStyle w:val="Nessuno"/>
          <w:rFonts w:ascii="Garamond" w:hAnsi="Garamond"/>
          <w:rtl w:val="0"/>
          <w:lang w:val="it-IT"/>
        </w:rPr>
        <w:t>Disposizioni per la prevenzione e la repressione della corruzione e dell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illegalit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nella pubblica amministrazione</w:t>
      </w:r>
      <w:r>
        <w:rPr>
          <w:rStyle w:val="Nessuno"/>
          <w:rFonts w:ascii="Garamond" w:hAnsi="Garamond" w:hint="default"/>
          <w:rtl w:val="0"/>
          <w:lang w:val="it-IT"/>
        </w:rPr>
        <w:t>”</w:t>
      </w:r>
      <w:r>
        <w:rPr>
          <w:rStyle w:val="Nessuno"/>
          <w:rFonts w:ascii="Garamond" w:hAnsi="Garamond"/>
          <w:rtl w:val="0"/>
          <w:lang w:val="it-IT"/>
        </w:rPr>
        <w:t>;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- il Piano Triennale di Prevenzione della Corruzione (P.T.P.C) 2019 </w:t>
      </w:r>
      <w:r>
        <w:rPr>
          <w:rStyle w:val="Nessuno"/>
          <w:rFonts w:ascii="Garamond" w:hAnsi="Garamond" w:hint="default"/>
          <w:rtl w:val="0"/>
          <w:lang w:val="it-IT"/>
        </w:rPr>
        <w:t xml:space="preserve">– </w:t>
      </w:r>
      <w:r>
        <w:rPr>
          <w:rStyle w:val="Nessuno"/>
          <w:rFonts w:ascii="Garamond" w:hAnsi="Garamond"/>
          <w:rtl w:val="0"/>
          <w:lang w:val="it-IT"/>
        </w:rPr>
        <w:t xml:space="preserve">2021 per le istituzioni scolastiche della Regione deliberazione n. 71 del 28 gennaio 2019; </w:t>
      </w:r>
    </w:p>
    <w:p>
      <w:pPr>
        <w:pStyle w:val="Normal.0"/>
        <w:jc w:val="both"/>
        <w:rPr>
          <w:rStyle w:val="Nessuno"/>
          <w:b w:val="1"/>
          <w:bCs w:val="1"/>
        </w:rPr>
      </w:pPr>
      <w:r>
        <w:rPr>
          <w:rStyle w:val="Nessuno"/>
          <w:rFonts w:ascii="Garamond" w:hAnsi="Garamond"/>
          <w:rtl w:val="0"/>
          <w:lang w:val="it-IT"/>
        </w:rPr>
        <w:t xml:space="preserve">- il decreto del Presidente della Repubblica 16 aprile 2013, n. 62 con il quale </w:t>
      </w:r>
      <w:r>
        <w:rPr>
          <w:rStyle w:val="Nessuno"/>
          <w:rFonts w:ascii="Garamond" w:hAnsi="Garamond" w:hint="default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rtl w:val="0"/>
          <w:lang w:val="it-IT"/>
        </w:rPr>
        <w:t xml:space="preserve">stato emanato il </w:t>
      </w:r>
      <w:r>
        <w:rPr>
          <w:rStyle w:val="Nessuno"/>
          <w:rFonts w:ascii="Garamond" w:hAnsi="Garamond" w:hint="default"/>
          <w:rtl w:val="0"/>
          <w:lang w:val="it-IT"/>
        </w:rPr>
        <w:t>“</w:t>
      </w:r>
      <w:r>
        <w:rPr>
          <w:rStyle w:val="Nessuno"/>
          <w:rFonts w:ascii="Garamond" w:hAnsi="Garamond"/>
          <w:rtl w:val="0"/>
          <w:lang w:val="it-IT"/>
        </w:rPr>
        <w:t>Regolamento recante il codice di comportamento dei dipendenti pubblici</w:t>
      </w:r>
      <w:r>
        <w:rPr>
          <w:rStyle w:val="Nessuno"/>
          <w:rFonts w:ascii="Garamond" w:hAnsi="Garamond" w:hint="default"/>
          <w:rtl w:val="0"/>
          <w:lang w:val="it-IT"/>
        </w:rPr>
        <w:t>”</w:t>
      </w:r>
      <w:r>
        <w:rPr>
          <w:rStyle w:val="Nessuno"/>
          <w:rFonts w:ascii="Garamond" w:hAnsi="Garamond"/>
          <w:rtl w:val="0"/>
          <w:lang w:val="it-IT"/>
        </w:rPr>
        <w:t>,</w:t>
      </w:r>
      <w:r>
        <w:rPr>
          <w:rStyle w:val="Nessuno"/>
          <w:b w:val="1"/>
          <w:bCs w:val="1"/>
          <w:rtl w:val="0"/>
          <w:lang w:val="it-IT"/>
        </w:rPr>
        <w:t xml:space="preserve"> 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rtl w:val="0"/>
          <w:lang w:val="it-IT"/>
        </w:rPr>
        <w:t xml:space="preserve">- 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SI CONVIENE QUANTO SEGUE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Articolo 1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Il presente Patto d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 xml:space="preserve">stabilisce la formale obbligazione della Ditta che, ai fini della partecipazione alla gara in oggetto, si impegna: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conformare i propri comportamenti ai principi di lealt</w:t>
      </w:r>
      <w:r>
        <w:rPr>
          <w:rFonts w:ascii="Garamond" w:hAnsi="Garamond" w:hint="default"/>
          <w:rtl w:val="0"/>
          <w:lang w:val="it-IT"/>
        </w:rPr>
        <w:t>à</w:t>
      </w:r>
      <w:r>
        <w:rPr>
          <w:rFonts w:ascii="Garamond" w:hAnsi="Garamond"/>
          <w:rtl w:val="0"/>
          <w:lang w:val="it-IT"/>
        </w:rPr>
        <w:t>, trasparenza e correttezza, a non offrire, accettare o richiedere somme di denaro o qualsiasi altra ricompensa, vantaggio o beneficio, sia direttamente che indirettamente tramite intermediari, al fine dell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assegnazione del contratto e/o al fine di distorcerne la relativa corretta esecuzione;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segnalare alla stazione appaltante qualsiasi tentativo di turbativa, irregolarit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o distorsione nelle fasi di svolgimento della gara e/o durante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esecuzione dei contratti, da parte di ogni interessato o addetto o di chiunque possa influenzare le decisioni relative alla gara in oggetto;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ad assicurare di non trovarsi in situazioni di controllo o di collegamento (formale e/o sostanziale) con altri concorrenti e che non si </w:t>
      </w:r>
      <w:r>
        <w:rPr>
          <w:rFonts w:ascii="Garamond" w:hAnsi="Garamond" w:hint="default"/>
          <w:rtl w:val="0"/>
          <w:lang w:val="it-IT"/>
        </w:rPr>
        <w:t xml:space="preserve">è </w:t>
      </w:r>
      <w:r>
        <w:rPr>
          <w:rFonts w:ascii="Garamond" w:hAnsi="Garamond"/>
          <w:rtl w:val="0"/>
          <w:lang w:val="it-IT"/>
        </w:rPr>
        <w:t>accordata e non si accorder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con altri partecipanti alla gara;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ad informare puntualmente tutto il personale, di cui si avvale, del presente Patto di integrit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e degli obblighi in esso contenuti;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vigilare affinch</w:t>
      </w:r>
      <w:r>
        <w:rPr>
          <w:rFonts w:ascii="Garamond" w:hAnsi="Garamond" w:hint="default"/>
          <w:rtl w:val="0"/>
          <w:lang w:val="it-IT"/>
        </w:rPr>
        <w:t xml:space="preserve">é </w:t>
      </w:r>
      <w:r>
        <w:rPr>
          <w:rFonts w:ascii="Garamond" w:hAnsi="Garamond"/>
          <w:rtl w:val="0"/>
          <w:lang w:val="it-IT"/>
        </w:rPr>
        <w:t>gli impegni sopra indicati siano osservati da tutti i collaboratori e dipendenti nell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esercizio dei compiti loro assegnati;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denunciare alla Pubblica Autorit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competente ogni irregolarit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o distorsione di cui sia venuta a conoscenza per quanto attiene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attivit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di cui 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oggetto della gara in causa.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Articolo 2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La ditta, sin d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ora, accetta che nel caso di mancato rispetto degli impegni anticorruzione assunti con il presente Patto di integrit</w:t>
      </w:r>
      <w:r>
        <w:rPr>
          <w:rStyle w:val="Nessuno"/>
          <w:rFonts w:ascii="Garamond" w:hAnsi="Garamond" w:hint="default"/>
          <w:rtl w:val="0"/>
          <w:lang w:val="it-IT"/>
        </w:rPr>
        <w:t>à</w:t>
      </w:r>
      <w:r>
        <w:rPr>
          <w:rStyle w:val="Nessuno"/>
          <w:rFonts w:ascii="Garamond" w:hAnsi="Garamond"/>
          <w:rtl w:val="0"/>
          <w:lang w:val="it-IT"/>
        </w:rPr>
        <w:t>, comunque accertato dall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Amministrazione, potranno essere applicate le seguenti sanzioni: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esclusione del concorrente dalla gara;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escussione della cauzione di validit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dell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offerta;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risoluzione del contratto;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escussione della cauzione di buona esecuzione del contratto;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esclusione del concorrente dalle gare indette dalla stazione appaltante per 5 anni.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Articolo 3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Il contenuto del Patto di integrit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e le relative sanzioni applicabili resteranno in vigore sino alla completa esecuzione del contratto. Il presente Patto dovr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essere richiamato dal contratto quale allegato allo stesso onde formarne parte integrante, sostanziale e pattizia.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Articolo 4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l'esclusione dalla gara.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  <w:r>
        <w:rPr>
          <w:rStyle w:val="Nessuno"/>
          <w:rFonts w:ascii="Garamond" w:hAnsi="Garamond"/>
          <w:b w:val="1"/>
          <w:bCs w:val="1"/>
          <w:rtl w:val="0"/>
          <w:lang w:val="it-IT"/>
        </w:rPr>
        <w:t>Articolo 5</w:t>
      </w:r>
    </w:p>
    <w:p>
      <w:pPr>
        <w:pStyle w:val="Normal.0"/>
        <w:jc w:val="center"/>
        <w:rPr>
          <w:rStyle w:val="Nessuno"/>
          <w:rFonts w:ascii="Garamond" w:cs="Garamond" w:hAnsi="Garamond" w:eastAsia="Garamond"/>
          <w:b w:val="1"/>
          <w:bCs w:val="1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Ogni controversia relativa all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interpretazione ed esecuzione del Patto d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fra la stazione appaltante ed i concorrenti e tra gli stessi concorrenti sar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risolta dall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Giudiziaria competente.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Luogo e data </w:t>
      </w:r>
      <w:r>
        <w:rPr>
          <w:rStyle w:val="Nessuno"/>
          <w:rFonts w:ascii="Garamond" w:hAnsi="Garamond" w:hint="default"/>
          <w:rtl w:val="0"/>
          <w:lang w:val="it-IT"/>
        </w:rPr>
        <w:t>…………………</w:t>
      </w:r>
      <w:r>
        <w:rPr>
          <w:rStyle w:val="Nessuno"/>
          <w:rFonts w:ascii="Garamond" w:hAnsi="Garamond"/>
          <w:rtl w:val="0"/>
          <w:lang w:val="it-IT"/>
        </w:rPr>
        <w:t>.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ab/>
        <w:t>Per la ditta: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 xml:space="preserve">   ______________________________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>(il legale rappresentante)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cs="Garamond" w:hAnsi="Garamond" w:eastAsia="Garamond"/>
          <w:rtl w:val="0"/>
        </w:rPr>
        <w:tab/>
        <w:tab/>
        <w:tab/>
        <w:tab/>
        <w:tab/>
        <w:tab/>
        <w:tab/>
        <w:t xml:space="preserve">       </w:t>
      </w:r>
    </w:p>
    <w:p>
      <w:pPr>
        <w:pStyle w:val="Normal.0"/>
        <w:jc w:val="both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 xml:space="preserve">  </w:t>
      </w:r>
    </w:p>
    <w:p>
      <w:pPr>
        <w:pStyle w:val="Normal.0"/>
        <w:tabs>
          <w:tab w:val="left" w:pos="4283"/>
        </w:tabs>
      </w:pPr>
      <w:r>
        <w:tab/>
      </w:r>
    </w:p>
    <w:sectPr>
      <w:headerReference w:type="default" r:id="rId4"/>
      <w:footerReference w:type="default" r:id="rId5"/>
      <w:pgSz w:w="11900" w:h="16840" w:orient="portrait"/>
      <w:pgMar w:top="709" w:right="1134" w:bottom="1134" w:left="1134" w:header="284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962"/>
        <w:tab w:val="right" w:pos="9612"/>
        <w:tab w:val="clear" w:pos="4819"/>
        <w:tab w:val="clear" w:pos="9638"/>
      </w:tabs>
      <w:jc w:val="center"/>
      <w:rPr>
        <w:b w:val="1"/>
        <w:bCs w:val="1"/>
        <w:sz w:val="22"/>
        <w:szCs w:val="22"/>
      </w:rPr>
    </w:pPr>
    <w:r>
      <w:rPr>
        <w:b w:val="1"/>
        <w:bCs w:val="1"/>
        <w:sz w:val="22"/>
        <w:szCs w:val="22"/>
        <w:rtl w:val="0"/>
        <w:lang w:val="it-IT"/>
      </w:rPr>
      <w:t>_________________________________</w:t>
    </w:r>
    <w:r>
      <w:drawing>
        <wp:inline distT="0" distB="0" distL="0" distR="0">
          <wp:extent cx="439420" cy="498475"/>
          <wp:effectExtent l="0" t="0" r="0" b="0"/>
          <wp:docPr id="1073741825" name="officeArt object" descr="Risultati immagini per SIMBOLO REPUBBLICA ITALIANA A CALO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isultati immagini per SIMBOLO REPUBBLICA ITALIANA A CALORI" descr="Risultati immagini per SIMBOLO REPUBBLICA ITALIANA A CALORI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98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sz w:val="22"/>
        <w:szCs w:val="22"/>
        <w:rtl w:val="0"/>
        <w:lang w:val="it-IT"/>
      </w:rPr>
      <w:t>_______________________________</w:t>
    </w:r>
  </w:p>
  <w:p>
    <w:pPr>
      <w:pStyle w:val="Body Text"/>
    </w:pPr>
    <w:r>
      <w:rPr>
        <w:rtl w:val="0"/>
      </w:rPr>
      <w:t>ISTITUTO COMPRENSIVO STATALE DI SCUOLA DELL</w:t>
    </w:r>
    <w:r>
      <w:rPr>
        <w:rtl w:val="0"/>
      </w:rPr>
      <w:t>’</w:t>
    </w:r>
    <w:r>
      <w:rPr>
        <w:rtl w:val="0"/>
      </w:rPr>
      <w:t xml:space="preserve">INFANZIA, PRIMARIA E SECONDARIA DI I GRADO  </w:t>
    </w:r>
    <w:r>
      <w:rPr>
        <w:rtl w:val="0"/>
      </w:rPr>
      <w:t>“</w:t>
    </w:r>
    <w:r>
      <w:rPr>
        <w:rtl w:val="0"/>
      </w:rPr>
      <w:t>G. FANCIULLI</w:t>
    </w:r>
    <w:r>
      <w:rPr>
        <w:rtl w:val="0"/>
      </w:rPr>
      <w:t xml:space="preserve">” </w:t>
    </w:r>
    <w:r>
      <w:rPr>
        <w:rtl w:val="0"/>
      </w:rPr>
      <w:t>ARRONE</w:t>
    </w:r>
  </w:p>
  <w:p>
    <w:pPr>
      <w:pStyle w:val="Normal.0"/>
      <w:jc w:val="center"/>
    </w:pPr>
    <w:r>
      <w:rPr>
        <w:rtl w:val="0"/>
        <w:lang w:val="it-IT"/>
      </w:rPr>
      <w:t xml:space="preserve">VIA MATTEOTTI, 3/A </w:t>
    </w:r>
    <w:r>
      <w:rPr>
        <w:rtl w:val="0"/>
        <w:lang w:val="it-IT"/>
      </w:rPr>
      <w:t xml:space="preserve">– </w:t>
    </w:r>
    <w:r>
      <w:rPr>
        <w:rtl w:val="0"/>
        <w:lang w:val="it-IT"/>
      </w:rPr>
      <w:t>05031 ARRONE</w:t>
    </w:r>
  </w:p>
  <w:p>
    <w:pPr>
      <w:pStyle w:val="Normal.0"/>
      <w:jc w:val="center"/>
    </w:pPr>
    <w:r>
      <w:rPr>
        <w:rtl w:val="0"/>
        <w:lang w:val="it-IT"/>
      </w:rPr>
      <w:t xml:space="preserve">Tel. 0744/387711 fax 0744/387729 E- mail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"mailto:tric80@tiscalinet.it"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tric803002@istruzione.it</w:t>
    </w:r>
    <w:r>
      <w:rPr/>
      <w:fldChar w:fldCharType="end" w:fldLock="0"/>
    </w:r>
    <w:r>
      <w:rPr>
        <w:rtl w:val="0"/>
        <w:lang w:val="it-IT"/>
      </w:rPr>
      <w:t xml:space="preserve"> C.F.91025670554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