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</w:t>
      </w:r>
      <w:r w:rsidR="00310466"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_____, C.F._</w:t>
      </w:r>
      <w:r w:rsidR="00310466"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__________________, P.IVA n.______</w:t>
      </w:r>
      <w:r w:rsidR="00310466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="000733AF">
        <w:rPr>
          <w:rFonts w:asciiTheme="minorHAnsi" w:hAnsiTheme="minorHAnsi" w:cstheme="minorHAnsi"/>
          <w:sz w:val="22"/>
          <w:szCs w:val="22"/>
        </w:rPr>
        <w:t>, h)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  <w:r w:rsidR="000733AF">
        <w:rPr>
          <w:rFonts w:asciiTheme="minorHAnsi" w:hAnsiTheme="minorHAnsi" w:cstheme="minorHAnsi"/>
          <w:sz w:val="22"/>
          <w:szCs w:val="22"/>
        </w:rPr>
        <w:t>;</w:t>
      </w:r>
    </w:p>
    <w:p w:rsidR="000733AF" w:rsidRPr="000733AF" w:rsidRDefault="000733AF" w:rsidP="000733AF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delitti ai danni di minori 600-bis, 600-ter, 600-quater, 600-quinquies, 600-octies del codice penale; 609-quater, 609-quinquies, 609-octies, 609-undicies del codice penale; 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</w:t>
      </w:r>
      <w:r w:rsidR="000733AF">
        <w:rPr>
          <w:rFonts w:asciiTheme="minorHAnsi" w:hAnsiTheme="minorHAnsi" w:cstheme="minorHAnsi"/>
          <w:sz w:val="22"/>
          <w:szCs w:val="22"/>
        </w:rPr>
        <w:t>inoltre</w:t>
      </w:r>
    </w:p>
    <w:p w:rsidR="00B65151" w:rsidRPr="00B65151" w:rsidRDefault="000733AF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dichiara di non aver riportato alcuna condanna penale e di non essere a conoscenza di essere sottoposto a processo penale </w:t>
      </w:r>
      <w:r w:rsidRPr="0026423F">
        <w:rPr>
          <w:rFonts w:asciiTheme="minorHAnsi" w:hAnsiTheme="minorHAnsi" w:cstheme="minorHAnsi"/>
          <w:b/>
          <w:sz w:val="22"/>
          <w:szCs w:val="22"/>
          <w:u w:val="single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dichiara </w:t>
      </w:r>
      <w:r w:rsidR="00B65151" w:rsidRPr="00B65151">
        <w:rPr>
          <w:rFonts w:asciiTheme="minorHAnsi" w:hAnsiTheme="minorHAnsi" w:cstheme="minorHAnsi"/>
          <w:sz w:val="22"/>
          <w:szCs w:val="22"/>
        </w:rPr>
        <w:t>di aver riportato le seguenti condanne</w:t>
      </w:r>
      <w:r>
        <w:rPr>
          <w:rFonts w:asciiTheme="minorHAnsi" w:hAnsiTheme="minorHAnsi" w:cstheme="minorHAnsi"/>
          <w:sz w:val="22"/>
          <w:szCs w:val="22"/>
        </w:rPr>
        <w:t xml:space="preserve"> o di essere sottoposto attualmente a processo per i seguenti reati:</w:t>
      </w:r>
      <w:r w:rsidR="00B65151" w:rsidRPr="00B65151">
        <w:rPr>
          <w:rFonts w:asciiTheme="minorHAnsi" w:hAnsiTheme="minorHAnsi" w:cstheme="minorHAnsi"/>
          <w:sz w:val="22"/>
          <w:szCs w:val="22"/>
        </w:rPr>
        <w:t xml:space="preserve"> (indicare il/i soggetto/i specificando ruolo, imputazione, condanna</w:t>
      </w:r>
      <w:r>
        <w:rPr>
          <w:rFonts w:asciiTheme="minorHAnsi" w:hAnsiTheme="minorHAnsi" w:cstheme="minorHAnsi"/>
          <w:sz w:val="22"/>
          <w:szCs w:val="22"/>
        </w:rPr>
        <w:t>/reato per cui se è sottoposti a rinvio a giudizio ovvero sentenza di _</w:t>
      </w:r>
      <w:r w:rsidR="00DB2D8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grado</w:t>
      </w:r>
      <w:r w:rsidR="00B65151" w:rsidRPr="00B65151">
        <w:rPr>
          <w:rFonts w:asciiTheme="minorHAnsi" w:hAnsiTheme="minorHAnsi" w:cstheme="minorHAnsi"/>
          <w:sz w:val="22"/>
          <w:szCs w:val="22"/>
        </w:rPr>
        <w:t>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D8D">
        <w:rPr>
          <w:rFonts w:asciiTheme="minorHAnsi" w:hAnsiTheme="minorHAnsi" w:cstheme="minorHAnsi"/>
          <w:sz w:val="22"/>
          <w:szCs w:val="22"/>
        </w:rPr>
        <w:t>________</w:t>
      </w:r>
      <w:r w:rsidRPr="00B65151">
        <w:rPr>
          <w:rFonts w:asciiTheme="minorHAnsi" w:hAnsiTheme="minorHAnsi" w:cstheme="minorHAnsi"/>
          <w:sz w:val="22"/>
          <w:szCs w:val="22"/>
        </w:rPr>
        <w:t>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D.Lgs.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modifiche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2529C8" w:rsidRPr="000733AF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33AF">
        <w:rPr>
          <w:rFonts w:asciiTheme="minorHAnsi" w:hAnsiTheme="minorHAnsi" w:cstheme="minorHAnsi"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</w:t>
      </w:r>
      <w:r w:rsidR="000733AF"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2758CE" w:rsidP="00F212C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F212C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F212C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F212C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F212C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  <w:r w:rsidR="00F212C1" w:rsidRPr="00F212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12C1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F212C1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F212C1" w:rsidRPr="008E4E38">
        <w:rPr>
          <w:rFonts w:asciiTheme="minorHAnsi" w:hAnsiTheme="minorHAnsi" w:cstheme="minorHAnsi"/>
          <w:sz w:val="22"/>
          <w:szCs w:val="22"/>
        </w:rPr>
        <w:t>)</w:t>
      </w:r>
    </w:p>
    <w:p w:rsidR="00DB2D8D" w:rsidRDefault="008E4E38" w:rsidP="00F212C1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</w:t>
      </w:r>
      <w:r w:rsidR="00DB2D8D">
        <w:rPr>
          <w:rFonts w:asciiTheme="minorHAnsi" w:hAnsiTheme="minorHAnsi" w:cstheme="minorHAnsi"/>
          <w:sz w:val="22"/>
          <w:szCs w:val="22"/>
        </w:rPr>
        <w:t>_</w:t>
      </w:r>
      <w:r w:rsidRPr="008E4E38">
        <w:rPr>
          <w:rFonts w:asciiTheme="minorHAnsi" w:hAnsiTheme="minorHAnsi" w:cstheme="minorHAnsi"/>
          <w:sz w:val="22"/>
          <w:szCs w:val="22"/>
        </w:rPr>
        <w:t>__</w:t>
      </w:r>
      <w:r w:rsidR="00DB2D8D">
        <w:rPr>
          <w:rFonts w:asciiTheme="minorHAnsi" w:hAnsiTheme="minorHAnsi" w:cstheme="minorHAnsi"/>
          <w:sz w:val="22"/>
          <w:szCs w:val="22"/>
        </w:rPr>
        <w:t>________</w:t>
      </w:r>
      <w:r w:rsidRPr="008E4E38">
        <w:rPr>
          <w:rFonts w:asciiTheme="minorHAnsi" w:hAnsiTheme="minorHAnsi" w:cstheme="minorHAnsi"/>
          <w:sz w:val="22"/>
          <w:szCs w:val="22"/>
        </w:rPr>
        <w:t>_____________________</w:t>
      </w:r>
    </w:p>
    <w:p w:rsidR="008E4E38" w:rsidRPr="008E4E38" w:rsidRDefault="00F212C1" w:rsidP="00F212C1">
      <w:pPr>
        <w:pStyle w:val="NormaleWeb"/>
        <w:spacing w:before="0" w:beforeAutospacing="0" w:after="12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E4E38" w:rsidRPr="008E4E38">
        <w:rPr>
          <w:rFonts w:asciiTheme="minorHAnsi" w:hAnsiTheme="minorHAnsi" w:cstheme="minorHAnsi"/>
          <w:sz w:val="22"/>
          <w:szCs w:val="22"/>
        </w:rPr>
        <w:t xml:space="preserve">n. ___________  fax </w:t>
      </w:r>
      <w:r w:rsidR="00DB2D8D">
        <w:rPr>
          <w:rFonts w:asciiTheme="minorHAnsi" w:hAnsiTheme="minorHAnsi" w:cstheme="minorHAnsi"/>
          <w:sz w:val="22"/>
          <w:szCs w:val="22"/>
        </w:rPr>
        <w:t>___</w:t>
      </w:r>
      <w:r w:rsidR="008E4E38" w:rsidRPr="008E4E38">
        <w:rPr>
          <w:rFonts w:asciiTheme="minorHAnsi" w:hAnsiTheme="minorHAnsi" w:cstheme="minorHAnsi"/>
          <w:sz w:val="22"/>
          <w:szCs w:val="22"/>
        </w:rPr>
        <w:t>_____________</w:t>
      </w:r>
      <w:r w:rsidR="00DB2D8D">
        <w:rPr>
          <w:rFonts w:asciiTheme="minorHAnsi" w:hAnsiTheme="minorHAnsi" w:cstheme="minorHAnsi"/>
          <w:sz w:val="22"/>
          <w:szCs w:val="22"/>
        </w:rPr>
        <w:t>______</w:t>
      </w:r>
      <w:r w:rsidR="008E4E38" w:rsidRPr="008E4E38">
        <w:rPr>
          <w:rFonts w:asciiTheme="minorHAnsi" w:hAnsiTheme="minorHAnsi" w:cstheme="minorHAnsi"/>
          <w:sz w:val="22"/>
          <w:szCs w:val="22"/>
        </w:rPr>
        <w:t xml:space="preserve"> e-mail </w:t>
      </w:r>
      <w:r w:rsidR="00DB2D8D">
        <w:rPr>
          <w:rFonts w:asciiTheme="minorHAnsi" w:hAnsiTheme="minorHAnsi" w:cstheme="minorHAnsi"/>
          <w:sz w:val="22"/>
          <w:szCs w:val="22"/>
        </w:rPr>
        <w:t>_______</w:t>
      </w:r>
      <w:r w:rsidR="008E4E38" w:rsidRPr="008E4E38">
        <w:rPr>
          <w:rFonts w:asciiTheme="minorHAnsi" w:hAnsiTheme="minorHAnsi" w:cstheme="minorHAnsi"/>
          <w:sz w:val="22"/>
          <w:szCs w:val="22"/>
        </w:rPr>
        <w:t>_____________________________;</w:t>
      </w:r>
    </w:p>
    <w:p w:rsidR="008E4E38" w:rsidRPr="008E4E38" w:rsidRDefault="008E4E38" w:rsidP="00F212C1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F212C1" w:rsidP="00F212C1">
      <w:pPr>
        <w:pStyle w:val="NormaleWeb"/>
        <w:spacing w:before="0" w:beforeAutospacing="0" w:after="12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E4E38"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DB2D8D">
        <w:rPr>
          <w:rFonts w:asciiTheme="minorHAnsi" w:hAnsiTheme="minorHAnsi" w:cstheme="minorHAnsi"/>
          <w:sz w:val="22"/>
          <w:szCs w:val="22"/>
        </w:rPr>
        <w:t>________</w:t>
      </w:r>
      <w:r w:rsidR="008E4E38" w:rsidRPr="008E4E38">
        <w:rPr>
          <w:rFonts w:asciiTheme="minorHAnsi" w:hAnsiTheme="minorHAnsi" w:cstheme="minorHAnsi"/>
          <w:sz w:val="22"/>
          <w:szCs w:val="22"/>
        </w:rPr>
        <w:t>___________</w:t>
      </w:r>
    </w:p>
    <w:p w:rsidR="008E4E38" w:rsidRDefault="008E4E38" w:rsidP="00F212C1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DB2D8D" w:rsidRDefault="00DB2D8D" w:rsidP="00F212C1">
      <w:pPr>
        <w:pStyle w:val="Default"/>
        <w:ind w:left="282" w:hanging="360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DB2D8D" w:rsidRPr="00DB2D8D" w:rsidRDefault="00DB2D8D" w:rsidP="00F212C1">
      <w:pPr>
        <w:pStyle w:val="Default"/>
        <w:numPr>
          <w:ilvl w:val="0"/>
          <w:numId w:val="26"/>
        </w:numPr>
        <w:jc w:val="both"/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DB2D8D" w:rsidRPr="00850455" w:rsidRDefault="00DB2D8D" w:rsidP="00F212C1">
      <w:pPr>
        <w:pStyle w:val="Default"/>
        <w:ind w:left="644" w:hanging="360"/>
      </w:pPr>
    </w:p>
    <w:p w:rsidR="00E87B79" w:rsidRPr="00E87B79" w:rsidRDefault="00E87B79" w:rsidP="00F212C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DB2D8D" w:rsidRDefault="00DB2D8D" w:rsidP="00F212C1">
      <w:pPr>
        <w:pStyle w:val="Default"/>
        <w:numPr>
          <w:ilvl w:val="0"/>
          <w:numId w:val="26"/>
        </w:numPr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L’operatore dichiara inoltre di aver ottemperato tutti gli obblighi relativi alla sicurezza sui luoghi di lavoro previsti dal D.Lgs. 81/08 inclusa la formazione obbligatoria per i propri dipendenti/collaboratori;</w:t>
      </w:r>
    </w:p>
    <w:p w:rsidR="00F212C1" w:rsidRPr="00E87B79" w:rsidRDefault="00F212C1" w:rsidP="00F212C1">
      <w:pPr>
        <w:pStyle w:val="Default"/>
        <w:ind w:left="641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F212C1" w:rsidRDefault="00E87B79" w:rsidP="00F212C1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212C1" w:rsidRDefault="00E87B79" w:rsidP="00F212C1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in caso di mancata iscrizione o all’Inps o all’Inail, precisarne le ragioni con nota a parte da allegare alla presente, specificando l’eventuale diverso fondo di iscrizione)</w:t>
      </w:r>
    </w:p>
    <w:p w:rsidR="00F212C1" w:rsidRDefault="00F212C1" w:rsidP="00F212C1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87B79" w:rsidRPr="00F212C1" w:rsidRDefault="00E87B79" w:rsidP="00F212C1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87B79" w:rsidRPr="00E87B79" w:rsidRDefault="00E87B79" w:rsidP="00E87B79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N° di dipendenti in servizio: </w:t>
      </w:r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E87B79">
      <w:pPr>
        <w:pStyle w:val="CM27"/>
        <w:pBdr>
          <w:bottom w:val="single" w:sz="12" w:space="1" w:color="auto"/>
        </w:pBdr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AE5BED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9F2D1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Lo/La scrivente, dichiara altresi: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di essere l’unico soggetto titolato ad operare sul c/c copra indicato non essendo stati delegati  altri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che sui conti correnti sopra indicati sono titolati ad operare,  oltre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Cognome e nome</w:t>
            </w:r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Residenza</w:t>
            </w:r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Codice fiscale</w:t>
            </w: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P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per tutte  le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prot.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impegnarsi a comunicare entro e non oltre sette giorni, qualsiasi variazione inerente alla presente dichiarazione, in particolare: in caso di accensioni di ulteriori e diversi  conti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essere stato informato che i dati personali raccolti saranno trattati, anche con mezzi informatici, esclusivamente per il procedimento per il quale la dichiarazione viene resa (art. 13 D.Lg.vo 196/2003 e s.m.i.) e che il responsabile del trattamento dei dati per l’istituto è stato individuato nella persona del Direttore</w:t>
      </w:r>
      <w:r w:rsidRPr="00E87B7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SGA:</w:t>
      </w:r>
      <w:r w:rsidRPr="00E87B7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: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 w:rsidR="00AE5BED">
        <w:rPr>
          <w:rFonts w:ascii="Calibri" w:hAnsi="Calibri" w:cs="Calibri"/>
        </w:rPr>
        <w:t>, h)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C9" w:rsidRDefault="000865C9">
      <w:r>
        <w:separator/>
      </w:r>
    </w:p>
  </w:endnote>
  <w:endnote w:type="continuationSeparator" w:id="0">
    <w:p w:rsidR="000865C9" w:rsidRDefault="0008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512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512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C3" w:rsidRDefault="003A7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C9" w:rsidRDefault="000865C9">
      <w:r>
        <w:separator/>
      </w:r>
    </w:p>
  </w:footnote>
  <w:footnote w:type="continuationSeparator" w:id="0">
    <w:p w:rsidR="000865C9" w:rsidRDefault="000865C9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 ALLEGATO </w:t>
    </w:r>
    <w:r w:rsidR="003A78C3">
      <w:rPr>
        <w:rFonts w:asciiTheme="minorHAnsi" w:hAnsiTheme="minorHAnsi" w:cstheme="minorHAnsi"/>
        <w:b/>
        <w:smallCaps/>
      </w:rPr>
      <w:t>1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ALLEGATO </w:t>
    </w:r>
    <w:r w:rsidR="00DE6042">
      <w:rPr>
        <w:rFonts w:asciiTheme="minorHAnsi" w:hAnsiTheme="minorHAnsi" w:cstheme="minorHAnsi"/>
        <w:b/>
        <w:smallCaps/>
      </w:rPr>
      <w:t>1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C3" w:rsidRDefault="003A78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F3D"/>
    <w:multiLevelType w:val="hybridMultilevel"/>
    <w:tmpl w:val="427297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423"/>
    <w:multiLevelType w:val="hybridMultilevel"/>
    <w:tmpl w:val="27A431E6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6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3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2"/>
  </w:num>
  <w:num w:numId="5">
    <w:abstractNumId w:val="16"/>
  </w:num>
  <w:num w:numId="6">
    <w:abstractNumId w:val="19"/>
  </w:num>
  <w:num w:numId="7">
    <w:abstractNumId w:val="32"/>
  </w:num>
  <w:num w:numId="8">
    <w:abstractNumId w:val="18"/>
  </w:num>
  <w:num w:numId="9">
    <w:abstractNumId w:val="22"/>
  </w:num>
  <w:num w:numId="10">
    <w:abstractNumId w:val="21"/>
  </w:num>
  <w:num w:numId="11">
    <w:abstractNumId w:val="28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3"/>
  </w:num>
  <w:num w:numId="20">
    <w:abstractNumId w:val="24"/>
  </w:num>
  <w:num w:numId="21">
    <w:abstractNumId w:val="31"/>
  </w:num>
  <w:num w:numId="22">
    <w:abstractNumId w:val="10"/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14"/>
  </w:num>
  <w:num w:numId="27">
    <w:abstractNumId w:val="33"/>
  </w:num>
  <w:num w:numId="28">
    <w:abstractNumId w:val="23"/>
  </w:num>
  <w:num w:numId="29">
    <w:abstractNumId w:val="11"/>
  </w:num>
  <w:num w:numId="30">
    <w:abstractNumId w:val="6"/>
  </w:num>
  <w:num w:numId="31">
    <w:abstractNumId w:val="15"/>
  </w:num>
  <w:num w:numId="32">
    <w:abstractNumId w:val="8"/>
  </w:num>
  <w:num w:numId="33">
    <w:abstractNumId w:val="12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33AF"/>
    <w:rsid w:val="00075CEB"/>
    <w:rsid w:val="00084926"/>
    <w:rsid w:val="000865C9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423F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66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A78C3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9F3722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AE5BED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CF7C96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2D8D"/>
    <w:rsid w:val="00DB5E9E"/>
    <w:rsid w:val="00DD01F2"/>
    <w:rsid w:val="00DD1F67"/>
    <w:rsid w:val="00DD3EB2"/>
    <w:rsid w:val="00DD5CE6"/>
    <w:rsid w:val="00DE5DF3"/>
    <w:rsid w:val="00DE6042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7022"/>
    <w:rsid w:val="00EF098B"/>
    <w:rsid w:val="00EF5126"/>
    <w:rsid w:val="00F138CF"/>
    <w:rsid w:val="00F212C1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0C0F-D576-4A39-8999-53C3AAEA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15667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2</cp:revision>
  <cp:lastPrinted>2017-12-01T12:42:00Z</cp:lastPrinted>
  <dcterms:created xsi:type="dcterms:W3CDTF">2020-01-31T14:15:00Z</dcterms:created>
  <dcterms:modified xsi:type="dcterms:W3CDTF">2020-01-31T14:15:00Z</dcterms:modified>
</cp:coreProperties>
</file>