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right"/>
      </w:pPr>
      <w:r>
        <w:rPr>
          <w:rStyle w:val="Nessuno A"/>
          <w:rtl w:val="0"/>
          <w:lang w:val="it-IT"/>
        </w:rPr>
        <w:t>Alla DSGA</w:t>
      </w:r>
    </w:p>
    <w:p>
      <w:pPr>
        <w:pStyle w:val="Normale"/>
        <w:jc w:val="right"/>
      </w:pPr>
      <w:r>
        <w:rPr>
          <w:rStyle w:val="Nessuno A"/>
          <w:rtl w:val="0"/>
          <w:lang w:val="it-IT"/>
        </w:rPr>
        <w:t>All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albo</w:t>
      </w:r>
    </w:p>
    <w:p>
      <w:pPr>
        <w:pStyle w:val="Normale"/>
        <w:jc w:val="right"/>
      </w:pPr>
      <w:r>
        <w:rPr>
          <w:rStyle w:val="Nessuno A"/>
          <w:rtl w:val="0"/>
          <w:lang w:val="it-IT"/>
        </w:rPr>
        <w:t>Agli atti</w:t>
      </w:r>
    </w:p>
    <w:p>
      <w:pPr>
        <w:pStyle w:val="Normale"/>
        <w:jc w:val="right"/>
      </w:pPr>
    </w:p>
    <w:p>
      <w:pPr>
        <w:pStyle w:val="Normale"/>
        <w:jc w:val="both"/>
      </w:pPr>
      <w:r>
        <w:rPr>
          <w:rStyle w:val="Nessuno"/>
          <w:kern w:val="1"/>
          <w:rtl w:val="0"/>
          <w:lang w:val="it-IT"/>
        </w:rPr>
        <w:t>OGGETTO: determina a contrarre per attivare una procedura di Interpello interna finalizzata all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individuazione di n. 4 esperti interni cui affidare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 xml:space="preserve">incarico di </w:t>
      </w:r>
      <w:r>
        <w:rPr>
          <w:rStyle w:val="Nessuno"/>
          <w:kern w:val="1"/>
          <w:rtl w:val="0"/>
          <w:lang w:val="it-IT"/>
        </w:rPr>
        <w:t>“</w:t>
      </w:r>
      <w:r>
        <w:rPr>
          <w:rStyle w:val="Nessuno"/>
          <w:kern w:val="1"/>
          <w:rtl w:val="0"/>
          <w:lang w:val="it-IT"/>
        </w:rPr>
        <w:t>coordinatori del progetto</w:t>
      </w:r>
      <w:r>
        <w:rPr>
          <w:rStyle w:val="Nessuno"/>
          <w:kern w:val="1"/>
          <w:rtl w:val="0"/>
          <w:lang w:val="it-IT"/>
        </w:rPr>
        <w:t xml:space="preserve">” </w:t>
      </w:r>
      <w:r>
        <w:rPr>
          <w:rStyle w:val="Nessuno"/>
          <w:kern w:val="1"/>
          <w:rtl w:val="0"/>
          <w:lang w:val="it-IT"/>
        </w:rPr>
        <w:t>in relazione</w:t>
      </w:r>
      <w:r>
        <w:rPr>
          <w:rStyle w:val="Nessuno A"/>
          <w:rtl w:val="0"/>
          <w:lang w:val="it-IT"/>
        </w:rPr>
        <w:t xml:space="preserve"> al </w:t>
      </w:r>
      <w:r>
        <w:rPr>
          <w:rStyle w:val="Nessuno"/>
          <w:b w:val="1"/>
          <w:bCs w:val="1"/>
          <w:rtl w:val="0"/>
          <w:lang w:val="it-IT"/>
        </w:rPr>
        <w:t xml:space="preserve">PROGETTO 10.2.2A-FSEPON-FR-2021-3 </w:t>
      </w:r>
      <w:r>
        <w:rPr>
          <w:rStyle w:val="Nessuno"/>
          <w:b w:val="1"/>
          <w:bCs w:val="1"/>
          <w:rtl w:val="0"/>
          <w:lang w:val="it-IT"/>
        </w:rPr>
        <w:t xml:space="preserve">– </w:t>
      </w:r>
      <w:r>
        <w:rPr>
          <w:rStyle w:val="Nessuno"/>
          <w:b w:val="1"/>
          <w:bCs w:val="1"/>
          <w:rtl w:val="0"/>
          <w:lang w:val="it-IT"/>
        </w:rPr>
        <w:t xml:space="preserve">LA SCUOLA FINALMENTE RIPARTE </w:t>
      </w:r>
      <w:r>
        <w:rPr>
          <w:rStyle w:val="Nessuno"/>
          <w:b w:val="1"/>
          <w:bCs w:val="1"/>
          <w:rtl w:val="0"/>
          <w:lang w:val="it-IT"/>
        </w:rPr>
        <w:t xml:space="preserve">– </w:t>
      </w:r>
    </w:p>
    <w:p>
      <w:pPr>
        <w:pStyle w:val="Normale"/>
        <w:jc w:val="both"/>
      </w:pPr>
      <w:r>
        <w:rPr>
          <w:rStyle w:val="Nessuno"/>
          <w:b w:val="1"/>
          <w:bCs w:val="1"/>
          <w:rtl w:val="0"/>
          <w:lang w:val="it-IT"/>
        </w:rPr>
        <w:t>CUP E93D21001670007</w:t>
      </w:r>
      <w:r>
        <w:rPr>
          <w:rStyle w:val="Nessuno A"/>
          <w:rtl w:val="0"/>
          <w:lang w:val="it-IT"/>
        </w:rPr>
        <w:t xml:space="preserve"> 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Fondi Strutturali Europei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 xml:space="preserve">Programma Operativo Nazionale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Per la scuola, competenze e ambienti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apprendimento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2014-2020. Asse I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 xml:space="preserve">Istruzione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 xml:space="preserve">Fondo Sociale Europeo (FSE). Programma Operativo Complementare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Per la scuola, competenze e ambienti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apprendimento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2014-2020. Asse I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 xml:space="preserve">Istruzione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 xml:space="preserve">Obiettivi Specifici 10.1, 10.2 e 10.3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 xml:space="preserve">Azioni 10.1.1, 10.2.2 e 10.3.1.Avviso pubblico prot. n. 9707 del 27/04/2021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>Realizzazione di percorsi educativi volti al potenziamento delle competenze e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aggregazione e la socializzazione delle studentesse e degli studenti nell'emergenza Covid -19 (Apprendimento e socialit</w:t>
      </w:r>
      <w:r>
        <w:rPr>
          <w:rStyle w:val="Nessuno A"/>
          <w:rtl w:val="0"/>
          <w:lang w:val="it-IT"/>
        </w:rPr>
        <w:t>à</w:t>
      </w:r>
      <w:r>
        <w:rPr>
          <w:rStyle w:val="Nessuno A"/>
          <w:rtl w:val="0"/>
          <w:lang w:val="it-IT"/>
        </w:rPr>
        <w:t>).</w:t>
      </w:r>
    </w:p>
    <w:p>
      <w:pPr>
        <w:pStyle w:val="Normale"/>
        <w:jc w:val="center"/>
      </w:pPr>
      <w:r>
        <w:rPr>
          <w:rStyle w:val="Nessuno A"/>
          <w:rtl w:val="0"/>
          <w:lang w:val="it-IT"/>
        </w:rPr>
        <w:t>Il Dirigente scolastico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>VISTO il R.D. 18 novembre 1923, n.2440, concernente l'amministrazione del Patrimonio e la Contabilit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 xml:space="preserve">Generale dello Stato ed il relativo regolamento approvato con R D 23 maggio 192,1, n. 827 e ss.mm.ii.;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VISTA la legge 7 agosto 1990, n. 241 "Nuove norme in materia di procedimento amministrativo e di diritto di accesso ai documenti amministrativi" e ss.mm.ii.;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>VISTA la legge 15 marzo 1997 n. 59, concernente "Delega al Governo per il conferimento di funzioni e compiti alle regioni ed enti locali, per la riforma della Pubblica Amministrazione e per la semplificazione amministrativa</w:t>
      </w:r>
      <w:r>
        <w:rPr>
          <w:rStyle w:val="Nessuno A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VISTO il Decreto del Presidente della Repubblica 8 marzo 1999, n. 275, concernente il Regolamento recante norme in materia di autonomia delle Istituzioni Scolastiche ai sensi della legge l5 marzo 1997, n. 59; </w:t>
      </w: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VISTA la L. 107/2015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Riforma del sistema nazionale di istruzione e formazione e delega per il riordino delle disposizioni legislative vigenti</w:t>
      </w:r>
      <w:r>
        <w:rPr>
          <w:rStyle w:val="Nessuno A"/>
          <w:rtl w:val="0"/>
          <w:lang w:val="it-IT"/>
        </w:rPr>
        <w:t>”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VISTO il Decreto Legislativo 30 marzo 2001, n. 165 recante "Norme generali sull'ordinamento del Lavoro alle dipendenze della Amministrazioni Pubbliche" e ss.mm.ii, in particolare gli articoli 5, 7, 25;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VISTO il Decreto Interministeriale 129/2018 Regolamento recante istruzioni generali sulla gestione amministrativo-contabile delle istituzioni scolastiche, ai sensi dell'articolo 1, comma 143, della legge 13 luglio 2015, n. 107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>VISTI i seguenti Regolamenti (UE) n. 1303/2013 recante disposizioni comuni sui Fondi strutturali e di investimento europei, il Regolamento (UE) n 1304/2013 relativo al Fondo Sociale Europeo;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>VISTA la nota M.I. n. 9707 del 27/04/2021 REALIZZAZIONE DI PERCORSI EDUCATIVI VOLTI AL POTENZIAMENTO DELLE COMPETENZE E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AGGREGAZIONE E LA SOCIALIZZAZIONE DELLE STUDENTESSE E DEGLI STUDENTI NELL'EMERGENZA COVID-19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>VISTO l</w:t>
      </w:r>
      <w:r>
        <w:rPr>
          <w:rStyle w:val="Nessuno A"/>
          <w:rtl w:val="0"/>
          <w:lang w:val="it-IT"/>
        </w:rPr>
        <w:t xml:space="preserve">’ </w:t>
      </w:r>
      <w:r>
        <w:rPr>
          <w:rStyle w:val="Nessuno A"/>
          <w:rtl w:val="0"/>
          <w:lang w:val="it-IT"/>
        </w:rPr>
        <w:t xml:space="preserve">Avviso pubblico prot. n. 9707 del 27/04/2021 </w:t>
      </w:r>
      <w:r>
        <w:rPr>
          <w:rStyle w:val="Nessuno A"/>
          <w:rtl w:val="0"/>
          <w:lang w:val="it-IT"/>
        </w:rPr>
        <w:t xml:space="preserve">– </w:t>
      </w:r>
      <w:r>
        <w:rPr>
          <w:rStyle w:val="Nessuno A"/>
          <w:rtl w:val="0"/>
          <w:lang w:val="it-IT"/>
        </w:rPr>
        <w:t>Realizzazione di percorsi educativi volti al potenziamento delle competenze e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aggregazione e la socializzazione delle studentesse e degli studenti nell'emergenza Covid -19 (Apprendimento e socialit</w:t>
      </w:r>
      <w:r>
        <w:rPr>
          <w:rStyle w:val="Nessuno A"/>
          <w:rtl w:val="0"/>
          <w:lang w:val="it-IT"/>
        </w:rPr>
        <w:t>à</w:t>
      </w:r>
      <w:r>
        <w:rPr>
          <w:rStyle w:val="Nessuno A"/>
          <w:rtl w:val="0"/>
          <w:lang w:val="it-IT"/>
        </w:rPr>
        <w:t xml:space="preserve">);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VISTE le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Linee guida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autorit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di gestione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affidamento dei contratti pubblici di Servizi e forniture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pubblicate con nota MIUR prot. AOODGEFID/1588 del 13.01.2016 e successivi aggiornamenti e integrazioni;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>VISTO il Progetto presentato da questo Istituto, cos</w:t>
      </w:r>
      <w:r>
        <w:rPr>
          <w:rStyle w:val="Nessuno A"/>
          <w:rtl w:val="0"/>
          <w:lang w:val="it-IT"/>
        </w:rPr>
        <w:t xml:space="preserve">ì </w:t>
      </w:r>
      <w:r>
        <w:rPr>
          <w:rStyle w:val="Nessuno A"/>
          <w:rtl w:val="0"/>
          <w:lang w:val="it-IT"/>
        </w:rPr>
        <w:t>come riportato nell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avviso prot. n</w:t>
      </w:r>
      <w:r>
        <w:rPr>
          <w:rStyle w:val="Nessuno A"/>
          <w:rtl w:val="0"/>
          <w:lang w:val="it-IT"/>
        </w:rPr>
        <w:t xml:space="preserve">° </w:t>
      </w:r>
      <w:r>
        <w:rPr>
          <w:rStyle w:val="Nessuno A"/>
          <w:rtl w:val="0"/>
          <w:lang w:val="it-IT"/>
        </w:rPr>
        <w:t xml:space="preserve">9707 del 27/04/2021 Candidatura N. 1054038;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VISTA la delibera del Collegio dei Docenti n. 3 del 17/05/2021 e la delibera del Consiglio di Istituto n. 73 del 18/05/2021;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>VISTA la nota prot. n. 17355 del 1</w:t>
      </w:r>
      <w:r>
        <w:rPr>
          <w:rStyle w:val="Nessuno A"/>
          <w:rtl w:val="0"/>
          <w:lang w:val="it-IT"/>
        </w:rPr>
        <w:t xml:space="preserve">° </w:t>
      </w:r>
      <w:r>
        <w:rPr>
          <w:rStyle w:val="Nessuno A"/>
          <w:rtl w:val="0"/>
          <w:lang w:val="it-IT"/>
        </w:rPr>
        <w:t xml:space="preserve">giugno 2021 con la quale sono state pubblicate le graduatorie regionali definitive PON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Per la Scuola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2014-2020;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 xml:space="preserve">VISTA la nota prot. AOODGEFID/17658 del 07 giugno 2021, con la quale sono stati formalmente autorizzati e ammessi a finanziamento tutti i progetti presentati da questa Istituzione Scolastica;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 A"/>
          <w:rtl w:val="0"/>
          <w:lang w:val="it-IT"/>
        </w:rPr>
        <w:t>VISTO il proprio decreto di assunzione a bilancio del finanziamento autorizzato, adottato in data 28/06/2021 prot .n. 3123;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VISTA la riunione di contrattazione integrativa svoltasi in data 10/06/2021 in merito all</w:t>
      </w:r>
      <w:r>
        <w:rPr>
          <w:rStyle w:val="Nessuno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impiego della risorsa finanziaria assegnata;</w:t>
      </w:r>
    </w:p>
    <w:p>
      <w:pPr>
        <w:pStyle w:val="Normale"/>
        <w:jc w:val="both"/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RILEVATA la necessit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di avvalersi, in relazione al progetto in parola, del supporto di 4 docenti esperti nel coordinamento del moduli del progetto (uno con competenze di coordinamento generale, altri 3 per ognuno degli specifici ordini di scuola per cui sono attivati i moduli: infanzia, primaria e secondaria di primo grado) cui affidare: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Per chi si occuper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del coordinamento generale del progetto: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Il coordinamento delle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progettuali nelle sue tempistiche a livello organizzativo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inserimento della documentazione prevista dall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autorit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 xml:space="preserve">di gestione nella piattaforma GPU 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Supporto alla segreteria per 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di coordinamento degli esperti nei singoli moduli e per il coordinamento tra piattaforma GPU e la piattaforma SIDI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Per tutti i 4 coordinatori (compreso chi si occuper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del coordinamento generale) La valutazione iniziale, intermedia e finale delle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del progetto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tenuta dei registri delle presenze dei singoli moduli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Coordinamento dei tempi e degli spazi per 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progettuali dei singoli moduli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di comunicazione del progetto e raccolta delle adesioni da parte dell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utenza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Supporto alla dirigenza per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individuazione dei requisiti professionali degli esperti necessari al progetto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Coordinamento generale e tecnico-organizzativo delle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dei singoli moduli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Supporto alla Dirigenza per la valutazione delle azioni progettali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Tale esperti dovranno coordinarsi costantemente con la Dirigenza e la  segreteria per la gestione della Candidatura e oltre ad avere le specifiche competenze progettuali  dovranno avere anche delle specifiche competenze di carattere didattico e valutativo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CONSIDERATO che ai sensi degli art. 5 e 25  del D.lgs 16/01 il Dirigente Scolastico ha autonomi poteri di gestione delle risorse umane dell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Istituto con i poteri del privato datore di lavoro</w:t>
      </w:r>
    </w:p>
    <w:p>
      <w:pPr>
        <w:pStyle w:val="Paragrafo elenc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uppressAutoHyphens w:val="1"/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before="0"/>
        <w:rPr>
          <w:rStyle w:val="Nessuno"/>
          <w:rFonts w:ascii="Times New Roman" w:cs="Times New Roman" w:hAnsi="Times New Roman" w:eastAsia="Times New Roman"/>
          <w:kern w:val="1"/>
          <w:u w:color="000000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before="0"/>
        <w:rPr>
          <w:rStyle w:val="Nessuno"/>
          <w:rFonts w:ascii="Times New Roman" w:cs="Times New Roman" w:hAnsi="Times New Roman" w:eastAsia="Times New Roman"/>
          <w:kern w:val="1"/>
          <w:u w:color="000000"/>
        </w:rPr>
      </w:pPr>
    </w:p>
    <w:p>
      <w:pPr>
        <w:pStyle w:val="Paragrafo elenc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</w:rPr>
        <w:t xml:space="preserve">Il  DIRIGENTE DETERMINA </w:t>
      </w:r>
    </w:p>
    <w:p>
      <w:pPr>
        <w:pStyle w:val="Paragrafo elenc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</w:rPr>
      </w:pP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Di attivare una procedura di Interpello interna  finalizzata all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individuazione di n. 4 esperti interni cui affidare 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 xml:space="preserve">incarico di </w:t>
      </w:r>
      <w:r>
        <w:rPr>
          <w:rStyle w:val="Nessuno"/>
          <w:kern w:val="1"/>
          <w:rtl w:val="0"/>
          <w:lang w:val="it-IT"/>
        </w:rPr>
        <w:t>“</w:t>
      </w:r>
      <w:r>
        <w:rPr>
          <w:rStyle w:val="Nessuno"/>
          <w:kern w:val="1"/>
          <w:rtl w:val="0"/>
          <w:lang w:val="it-IT"/>
        </w:rPr>
        <w:t>coordinatori del progetto</w:t>
      </w:r>
      <w:r>
        <w:rPr>
          <w:rStyle w:val="Nessuno"/>
          <w:kern w:val="1"/>
          <w:rtl w:val="0"/>
          <w:lang w:val="it-IT"/>
        </w:rPr>
        <w:t xml:space="preserve">” </w:t>
      </w:r>
      <w:r>
        <w:rPr>
          <w:rStyle w:val="Nessuno"/>
          <w:kern w:val="1"/>
          <w:rtl w:val="0"/>
          <w:lang w:val="it-IT"/>
        </w:rPr>
        <w:t>in relazione ai moduli progettuali afferenti la Candidatura N. 1054038 0009707 del 27/04/2021 - FSE e FDR - Apprendimento e socialit</w:t>
      </w:r>
      <w:r>
        <w:rPr>
          <w:rStyle w:val="Nessuno"/>
          <w:kern w:val="1"/>
          <w:rtl w:val="0"/>
          <w:lang w:val="it-IT"/>
        </w:rPr>
        <w:t xml:space="preserve">à 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Si d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mandato alla DSGA di avviare una procedura di interpello interno all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Istituto Comprensivo di via Commerciale per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individuazione di n. 3 dipendenti che abbiano le competenze sotto delineate con ruolo di coordinamento per i singoli ordini di scuola e di n.1 docente con ruolo di coordinamento generale.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numPr>
          <w:ilvl w:val="0"/>
          <w:numId w:val="5"/>
        </w:numPr>
        <w:suppressAutoHyphens w:val="0"/>
        <w:bidi w:val="0"/>
        <w:ind w:right="0"/>
        <w:jc w:val="both"/>
        <w:rPr>
          <w:sz w:val="25"/>
          <w:szCs w:val="25"/>
          <w:rtl w:val="0"/>
          <w:lang w:val="it-IT"/>
        </w:rPr>
      </w:pPr>
      <w:r>
        <w:rPr>
          <w:rStyle w:val="Nessuno A"/>
          <w:sz w:val="25"/>
          <w:szCs w:val="25"/>
          <w:rtl w:val="0"/>
          <w:lang w:val="it-IT"/>
        </w:rPr>
        <w:t>In caso la procedura sopracitata vada deserta in tutto o in parte, ovvero i candidati non soddisfino i requisiti previsti in tutte le fasi della valutazione, di avviare una procedura interna agli Istituti Scolastici della provincia di Trieste per verificare l</w:t>
      </w:r>
      <w:r>
        <w:rPr>
          <w:rStyle w:val="Nessuno A"/>
          <w:sz w:val="25"/>
          <w:szCs w:val="25"/>
          <w:rtl w:val="0"/>
          <w:lang w:val="it-IT"/>
        </w:rPr>
        <w:t>’</w:t>
      </w:r>
      <w:r>
        <w:rPr>
          <w:rStyle w:val="Nessuno A"/>
          <w:sz w:val="25"/>
          <w:szCs w:val="25"/>
          <w:rtl w:val="0"/>
          <w:lang w:val="it-IT"/>
        </w:rPr>
        <w:t>eventuale presenza di  personale interno ad una unit</w:t>
      </w:r>
      <w:r>
        <w:rPr>
          <w:rStyle w:val="Nessuno A"/>
          <w:sz w:val="25"/>
          <w:szCs w:val="25"/>
          <w:rtl w:val="0"/>
          <w:lang w:val="it-IT"/>
        </w:rPr>
        <w:t xml:space="preserve">à </w:t>
      </w:r>
      <w:r>
        <w:rPr>
          <w:rStyle w:val="Nessuno A"/>
          <w:sz w:val="25"/>
          <w:szCs w:val="25"/>
          <w:rtl w:val="0"/>
          <w:lang w:val="it-IT"/>
        </w:rPr>
        <w:t xml:space="preserve">scolastica in possesso dei requisiti sottoelencati che si dichiari disponibile ad assumere il ruolo di </w:t>
      </w:r>
      <w:r>
        <w:rPr>
          <w:rStyle w:val="Nessuno A"/>
          <w:sz w:val="25"/>
          <w:szCs w:val="25"/>
          <w:rtl w:val="0"/>
          <w:lang w:val="it-IT"/>
        </w:rPr>
        <w:t>“</w:t>
      </w:r>
      <w:r>
        <w:rPr>
          <w:rStyle w:val="Nessuno A"/>
          <w:sz w:val="25"/>
          <w:szCs w:val="25"/>
          <w:rtl w:val="0"/>
          <w:lang w:val="it-IT"/>
        </w:rPr>
        <w:t>coordinatori del progetto</w:t>
      </w:r>
      <w:r>
        <w:rPr>
          <w:rStyle w:val="Nessuno A"/>
          <w:sz w:val="25"/>
          <w:szCs w:val="25"/>
          <w:rtl w:val="0"/>
          <w:lang w:val="it-IT"/>
        </w:rPr>
        <w:t xml:space="preserve">” </w:t>
      </w:r>
      <w:r>
        <w:rPr>
          <w:rStyle w:val="Nessuno A"/>
          <w:sz w:val="25"/>
          <w:szCs w:val="25"/>
          <w:rtl w:val="0"/>
          <w:lang w:val="it-IT"/>
        </w:rPr>
        <w:t>in relazione ai moduli progettuali afferenti la Candidatura N. 1054038 0009707 del 27/04/2021 - FSE e FDR - Apprendimento e socialit</w:t>
      </w:r>
      <w:r>
        <w:rPr>
          <w:rStyle w:val="Nessuno A"/>
          <w:sz w:val="25"/>
          <w:szCs w:val="25"/>
          <w:rtl w:val="0"/>
          <w:lang w:val="it-IT"/>
        </w:rPr>
        <w:t xml:space="preserve">à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  <w:tab w:val="left" w:pos="9700"/>
        </w:tabs>
        <w:suppressAutoHyphens w:val="0"/>
        <w:jc w:val="both"/>
        <w:rPr>
          <w:rStyle w:val="Nessuno A"/>
          <w:sz w:val="25"/>
          <w:szCs w:val="25"/>
        </w:rPr>
      </w:pPr>
    </w:p>
    <w:p>
      <w:pPr>
        <w:pStyle w:val="Normale"/>
        <w:numPr>
          <w:ilvl w:val="0"/>
          <w:numId w:val="5"/>
        </w:numPr>
        <w:suppressAutoHyphens w:val="0"/>
        <w:bidi w:val="0"/>
        <w:ind w:right="0"/>
        <w:jc w:val="both"/>
        <w:rPr>
          <w:sz w:val="25"/>
          <w:szCs w:val="25"/>
          <w:rtl w:val="0"/>
          <w:lang w:val="it-IT"/>
        </w:rPr>
      </w:pPr>
      <w:r>
        <w:rPr>
          <w:rStyle w:val="Nessuno A"/>
          <w:sz w:val="25"/>
          <w:szCs w:val="25"/>
          <w:rtl w:val="0"/>
          <w:lang w:val="it-IT"/>
        </w:rPr>
        <w:t>Le competenze che dovranno avere i candidati per partecipare alla procedura in oggetto sono quelle sotto elencate: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  <w:tab w:val="left" w:pos="9700"/>
        </w:tabs>
        <w:suppressAutoHyphens w:val="0"/>
        <w:jc w:val="both"/>
        <w:rPr>
          <w:rStyle w:val="Nessuno A"/>
          <w:sz w:val="25"/>
          <w:szCs w:val="25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jc w:val="center"/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COMPETENZE: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  <w:sz w:val="30"/>
          <w:szCs w:val="30"/>
        </w:rPr>
      </w:pPr>
      <w:r>
        <w:rPr>
          <w:rStyle w:val="Nessuno"/>
          <w:kern w:val="1"/>
          <w:sz w:val="30"/>
          <w:szCs w:val="30"/>
          <w:rtl w:val="0"/>
          <w:lang w:val="it-IT"/>
        </w:rPr>
        <w:t xml:space="preserve">Requisiti di accesso 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(tali requisiti sono sa intendersi come requisiti di base per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accesso alla procedura comparativa.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assenza dei requisiti in parola pregiudica quindi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accesso alla procedura comparativa dei candidati anche in presenza di una sola candidatura):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Laurea magistrale (o laurea vecchio ordinamento)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Essere dipendente presso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 xml:space="preserve">I.C.di via Commerciale  con contratto a tempo indeterminato (condizione necessaria vista la durata </w:t>
      </w:r>
      <w:r>
        <w:rPr>
          <w:rStyle w:val="Nessuno"/>
          <w:kern w:val="1"/>
          <w:rtl w:val="0"/>
          <w:lang w:val="it-IT"/>
        </w:rPr>
        <w:t>“</w:t>
      </w:r>
      <w:r>
        <w:rPr>
          <w:rStyle w:val="Nessuno"/>
          <w:kern w:val="1"/>
          <w:rtl w:val="0"/>
          <w:lang w:val="it-IT"/>
        </w:rPr>
        <w:t>a cavallo</w:t>
      </w:r>
      <w:r>
        <w:rPr>
          <w:rStyle w:val="Nessuno"/>
          <w:kern w:val="1"/>
          <w:rtl w:val="0"/>
          <w:lang w:val="it-IT"/>
        </w:rPr>
        <w:t xml:space="preserve">” </w:t>
      </w:r>
      <w:r>
        <w:rPr>
          <w:rStyle w:val="Nessuno"/>
          <w:kern w:val="1"/>
          <w:rtl w:val="0"/>
          <w:lang w:val="it-IT"/>
        </w:rPr>
        <w:t>tra due anni scolastici del progetto)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Essere docente presso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 xml:space="preserve">I.C.di via Commerciale </w:t>
      </w:r>
    </w:p>
    <w:p>
      <w:pPr>
        <w:pStyle w:val="Normale"/>
        <w:widowControl w:val="0"/>
        <w:numPr>
          <w:ilvl w:val="0"/>
          <w:numId w:val="8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 A"/>
          <w:rtl w:val="0"/>
          <w:lang w:val="it-IT"/>
        </w:rPr>
        <w:t>essere in possesso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abilitazione per la scuola primaria per il ruolo di </w:t>
      </w:r>
      <w:r>
        <w:rPr>
          <w:rStyle w:val="Nessuno A"/>
          <w:rtl w:val="0"/>
          <w:lang w:val="it-IT"/>
        </w:rPr>
        <w:t>2</w:t>
      </w:r>
      <w:r>
        <w:rPr>
          <w:rStyle w:val="Nessuno A"/>
          <w:rtl w:val="0"/>
          <w:lang w:val="it-IT"/>
        </w:rPr>
        <w:t xml:space="preserve"> espert</w:t>
      </w:r>
      <w:r>
        <w:rPr>
          <w:rStyle w:val="Nessuno A"/>
          <w:rtl w:val="0"/>
          <w:lang w:val="it-IT"/>
        </w:rPr>
        <w:t>i</w:t>
      </w:r>
      <w:r>
        <w:rPr>
          <w:rStyle w:val="Nessuno A"/>
          <w:rtl w:val="0"/>
          <w:lang w:val="it-IT"/>
        </w:rPr>
        <w:t xml:space="preserve"> che dovr</w:t>
      </w:r>
      <w:r>
        <w:rPr>
          <w:rStyle w:val="Nessuno A"/>
          <w:rtl w:val="0"/>
          <w:lang w:val="it-IT"/>
        </w:rPr>
        <w:t>anno</w:t>
      </w:r>
      <w:r>
        <w:rPr>
          <w:rStyle w:val="Nessuno A"/>
          <w:rtl w:val="0"/>
          <w:lang w:val="it-IT"/>
        </w:rPr>
        <w:t xml:space="preserve"> coordinare e valutare le azioni  per i moduli dedicati alla scuola primaria </w:t>
      </w:r>
    </w:p>
    <w:p>
      <w:pPr>
        <w:pStyle w:val="Normale"/>
        <w:widowControl w:val="0"/>
        <w:numPr>
          <w:ilvl w:val="0"/>
          <w:numId w:val="8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 A"/>
          <w:rtl w:val="0"/>
          <w:lang w:val="it-IT"/>
        </w:rPr>
        <w:t>essere in possesso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abilitazione per la scuola secondaria di primo grado per il ruolo di 1 esperto che dovr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coordinare e valutare le azioni  per i moduli dedicati alla scuola secondaria di primo grado</w:t>
      </w:r>
    </w:p>
    <w:p>
      <w:pPr>
        <w:pStyle w:val="Normale"/>
        <w:widowControl w:val="0"/>
        <w:numPr>
          <w:ilvl w:val="0"/>
          <w:numId w:val="8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 A"/>
          <w:rtl w:val="0"/>
          <w:lang w:val="it-IT"/>
        </w:rPr>
        <w:t>essere in possesso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abilitazione per la scuola primaria o secondaria di primo grado per il ruolo di 1 esperto che avr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il ruolo di coordinamento generale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 A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  <w:sz w:val="30"/>
          <w:szCs w:val="30"/>
        </w:rPr>
      </w:pPr>
      <w:r>
        <w:rPr>
          <w:rStyle w:val="Nessuno"/>
          <w:kern w:val="1"/>
          <w:sz w:val="30"/>
          <w:szCs w:val="30"/>
          <w:rtl w:val="0"/>
          <w:lang w:val="it-IT"/>
        </w:rPr>
        <w:t>Requisiti valutabili ai fini della procedura comparativa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  <w:sz w:val="30"/>
          <w:szCs w:val="3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  <w:tab w:val="left" w:pos="9700"/>
        </w:tabs>
        <w:spacing w:line="360" w:lineRule="auto"/>
        <w:rPr>
          <w:rStyle w:val="Nessuno A"/>
        </w:rPr>
      </w:pPr>
      <w:r>
        <w:rPr>
          <w:rStyle w:val="Nessuno A"/>
          <w:rtl w:val="0"/>
          <w:lang w:val="it-IT"/>
        </w:rPr>
        <w:t xml:space="preserve">NOTA IMPORTANTE: ai fini di garantire un livello di competenze elevato, </w:t>
      </w:r>
      <w:r>
        <w:rPr>
          <w:rStyle w:val="Nessuno A"/>
          <w:rtl w:val="0"/>
          <w:lang w:val="it-IT"/>
        </w:rPr>
        <w:t xml:space="preserve">è </w:t>
      </w:r>
      <w:r>
        <w:rPr>
          <w:rStyle w:val="Nessuno A"/>
          <w:rtl w:val="0"/>
          <w:lang w:val="it-IT"/>
        </w:rPr>
        <w:t>facolt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del DS non attribuire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incarico di esperto ad un candidato che ha raggiunto un punteggio inferiore ai 15 punti nella valutazione comparativa, anche nel caso egli sia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unico candidato/a presente a questa fase di selezione e abbia il possesso dei requisiti minimi.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  <w:tab w:val="left" w:pos="9700"/>
        </w:tabs>
        <w:spacing w:line="360" w:lineRule="auto"/>
        <w:rPr>
          <w:rStyle w:val="Nessuno"/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Tali requisiti dovranno essere esplicitati dal candidato tramite modulo apposito e dovranno comunque emergere dal cv che il candidato allegher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alla domanda: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numPr>
          <w:ilvl w:val="0"/>
          <w:numId w:val="9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 xml:space="preserve">Altre lauree (oltre alla prima) 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Laurea in materie pedagogiche (anche in caso di prima laurea)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Laurea (anche in caso di prima laurea) in discipline giuridiche o scientifiche/gestionali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Eventuali dottorati di ricerca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Master universitari, con particolare attenzione a master in discipline scientifico/gestionali, giuridiche o pedagogia (massimo punti 40 per i punti 1,2,3,4,5)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Aver svolto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incarico di formatore, tutor d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aula o valutatore in relazione a specifici progetti finanziati con fondi vincolati di livello regionale, nazionale europeo (massimo punti 20)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Aver svolto incarichi di progettazione e/o coordinamento di progetti con fondi vincolati (regionali, europei e nazionali) (massimo punti 20)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Svolgere o aver svolto il ruolo di funzione strumentale ovvero di collaboratore del DS (massimo punti 10)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 xml:space="preserve">Aver realizzato la progettazione per la </w:t>
      </w:r>
      <w:r>
        <w:rPr>
          <w:rStyle w:val="Nessuno A"/>
          <w:rtl w:val="0"/>
          <w:lang w:val="it-IT"/>
        </w:rPr>
        <w:t>Candidatura N. 1054038 0009707 del 27/04/2021 - FSE e FDR - Apprendimento e socialit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(massimo punti 10)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jc w:val="center"/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COMPITI DEL CONTRAENTE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  <w:tab w:val="left" w:pos="9700"/>
        </w:tabs>
        <w:spacing w:before="0" w:line="400" w:lineRule="atLeast"/>
        <w:rPr>
          <w:rStyle w:val="Nessuno"/>
          <w:rFonts w:ascii="Times New Roman" w:cs="Times New Roman" w:hAnsi="Times New Roman" w:eastAsia="Times New Roman"/>
          <w:sz w:val="23"/>
          <w:szCs w:val="23"/>
          <w:u w:color="000000"/>
          <w:shd w:val="clear" w:color="auto" w:fill="ffffff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Tali esperti dovranno coordinarsi costantemente con la Dirigenza, i docenti e i tutor d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 xml:space="preserve">aula in relazione alla </w:t>
      </w:r>
      <w:r>
        <w:rPr>
          <w:rStyle w:val="Nessuno A"/>
          <w:rtl w:val="0"/>
          <w:lang w:val="it-IT"/>
        </w:rPr>
        <w:t>Candidatura N. 1054038 0009707 del 27/04/2021 - FSE e FDR - Apprendimento e socialit</w:t>
      </w:r>
      <w:r>
        <w:rPr>
          <w:rStyle w:val="Nessuno A"/>
          <w:rtl w:val="0"/>
          <w:lang w:val="it-IT"/>
        </w:rPr>
        <w:t>à</w:t>
      </w:r>
      <w:r>
        <w:rPr>
          <w:rStyle w:val="Nessuno"/>
          <w:kern w:val="1"/>
          <w:rtl w:val="0"/>
          <w:lang w:val="it-IT"/>
        </w:rPr>
        <w:t xml:space="preserve">; 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nello specifico i compiti e gli incarichi saranno i seguenti: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Chi si occuper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del coordinamento generale del progetto avr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responsabilit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dirette in merito a: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Il coordinamento delle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progettuali nelle sue tempistiche a livello organizzativo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inserimento della documentazione prevista dall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autorit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 xml:space="preserve">di gestione nella piattaforma GPU 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Il supporto alla segreteria per 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di coordinamento degli esperti nei singoli moduli e per il coordinamento tra piattaforma GPU e la piattaforma SIDI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Tutti i 4 coordinatori (compreso chi si occuper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del coordinamento generale) avranno responsabilit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dirette in merito a: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La valutazione iniziale, intermedia e finale delle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del progetto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tenuta dei registri delle presenze dei singoli moduli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Coordinamento dei tempi e degli spazi per 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progettuali dei singoli moduli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di comunicazione del progetto e raccolta delle adesioni da parte dell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utenza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Supporto alla dirigenza per l</w:t>
      </w:r>
      <w:r>
        <w:rPr>
          <w:rStyle w:val="Nessuno"/>
          <w:kern w:val="1"/>
          <w:rtl w:val="0"/>
          <w:lang w:val="it-IT"/>
        </w:rPr>
        <w:t>’</w:t>
      </w:r>
      <w:r>
        <w:rPr>
          <w:rStyle w:val="Nessuno"/>
          <w:kern w:val="1"/>
          <w:rtl w:val="0"/>
          <w:lang w:val="it-IT"/>
        </w:rPr>
        <w:t>individuazione dei requisiti professionali degli esperti necessari al progetto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Coordinamento generale e tecnico-organizzativo delle attivit</w:t>
      </w:r>
      <w:r>
        <w:rPr>
          <w:rStyle w:val="Nessuno"/>
          <w:kern w:val="1"/>
          <w:rtl w:val="0"/>
          <w:lang w:val="it-IT"/>
        </w:rPr>
        <w:t xml:space="preserve">à </w:t>
      </w:r>
      <w:r>
        <w:rPr>
          <w:rStyle w:val="Nessuno"/>
          <w:kern w:val="1"/>
          <w:rtl w:val="0"/>
          <w:lang w:val="it-IT"/>
        </w:rPr>
        <w:t>dei singoli moduli</w:t>
      </w:r>
    </w:p>
    <w:p>
      <w:pPr>
        <w:pStyle w:val="Normale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kern w:val="1"/>
          <w:rtl w:val="0"/>
          <w:lang w:val="it-IT"/>
        </w:rPr>
        <w:t>Supporto alla Dirigenza per la valutazione delle azioni progettali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jc w:val="center"/>
        <w:rPr>
          <w:rStyle w:val="Nessuno"/>
          <w:kern w:val="1"/>
        </w:rPr>
      </w:pPr>
      <w:r>
        <w:rPr>
          <w:rStyle w:val="Nessuno"/>
          <w:kern w:val="1"/>
          <w:rtl w:val="0"/>
          <w:lang w:val="it-IT"/>
        </w:rPr>
        <w:t>RETRIBUZIONE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jc w:val="center"/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it-IT"/>
        </w:rPr>
        <w:t xml:space="preserve">La retribuzione prevista, dipendente dalle ore effettivamente prestate fino ad una massimo di 150 ore per il coordinamento generale e 100 ore per ciascuno dei ruoli di coordinamento per ordine di scuola, pari a euro euro 10.449 lordo stato, ore suddivise in modo equo per ognuno dei moduli del progetto che saranno effettivamente attivati. </w:t>
      </w:r>
      <w:r>
        <w:rPr>
          <w:rStyle w:val="Nessuno"/>
          <w:rFonts w:ascii="Times Roman" w:hAnsi="Times Roman"/>
          <w:rtl w:val="0"/>
          <w:lang w:val="it-IT"/>
        </w:rPr>
        <w:t xml:space="preserve"> </w:t>
      </w:r>
      <w:r>
        <w:rPr>
          <w:rtl w:val="0"/>
          <w:lang w:val="it-IT"/>
        </w:rPr>
        <w:t>La liquidazione delle competenze avverr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conclusione del progetto e previa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presentazione di specifica rendicontazione. 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Style w:val="Nessuno"/>
          <w:kern w:val="1"/>
        </w:rPr>
      </w:pPr>
    </w:p>
    <w:p>
      <w:pPr>
        <w:pStyle w:val="Normale"/>
        <w:jc w:val="both"/>
      </w:pPr>
    </w:p>
    <w:p>
      <w:pPr>
        <w:pStyle w:val="Normale"/>
        <w:jc w:val="center"/>
      </w:pPr>
    </w:p>
    <w:p>
      <w:pPr>
        <w:pStyle w:val="Normale"/>
        <w:jc w:val="center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ind w:left="4956" w:firstLine="708"/>
        <w:jc w:val="right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Il Dirigente Scolastico   </w:t>
      </w:r>
    </w:p>
    <w:p>
      <w:pPr>
        <w:pStyle w:val="Normale"/>
        <w:spacing w:line="276" w:lineRule="auto"/>
        <w:jc w:val="right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                                                                                                     (Roberto BENES)</w:t>
      </w:r>
    </w:p>
    <w:p>
      <w:pPr>
        <w:pStyle w:val="Normale"/>
        <w:spacing w:line="276" w:lineRule="auto"/>
        <w:jc w:val="right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                                                                                                  Documento firmato digitalmente ai sensi   del c.d.</w:t>
      </w:r>
    </w:p>
    <w:p>
      <w:pPr>
        <w:pStyle w:val="Normale"/>
        <w:spacing w:line="276" w:lineRule="auto"/>
        <w:jc w:val="right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Codice dell</w:t>
      </w:r>
      <w:r>
        <w:rPr>
          <w:rStyle w:val="Nessuno"/>
          <w:sz w:val="18"/>
          <w:szCs w:val="18"/>
          <w:rtl w:val="0"/>
          <w:lang w:val="it-IT"/>
        </w:rPr>
        <w:t>’</w:t>
      </w:r>
      <w:r>
        <w:rPr>
          <w:rStyle w:val="Nessuno"/>
          <w:sz w:val="18"/>
          <w:szCs w:val="18"/>
          <w:rtl w:val="0"/>
          <w:lang w:val="it-IT"/>
        </w:rPr>
        <w:t>Amministrazione Digitale e norme ad esso connesse</w:t>
      </w:r>
    </w:p>
    <w:p>
      <w:pPr>
        <w:pStyle w:val="Normale"/>
        <w:spacing w:after="3" w:line="256" w:lineRule="auto"/>
        <w:ind w:left="10" w:right="33" w:firstLine="0"/>
        <w:jc w:val="right"/>
      </w:pPr>
      <w:r>
        <w:rPr>
          <w:rStyle w:val="Nessuno A"/>
          <w:sz w:val="18"/>
          <w:szCs w:val="1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84" w:right="849" w:bottom="1418" w:left="851" w:header="227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bidi w:val="0"/>
      <w:ind w:left="0" w:right="0" w:firstLine="0"/>
      <w:jc w:val="center"/>
      <w:rPr>
        <w:b w:val="1"/>
        <w:bCs w:val="1"/>
        <w:i w:val="1"/>
        <w:iCs w:val="1"/>
        <w:sz w:val="20"/>
        <w:szCs w:val="20"/>
        <w:rtl w:val="0"/>
      </w:rPr>
    </w:pPr>
    <w:r>
      <w:rPr>
        <w:b w:val="1"/>
        <w:bCs w:val="1"/>
        <w:i w:val="1"/>
        <w:iCs w:val="1"/>
        <w:sz w:val="20"/>
        <w:szCs w:val="20"/>
      </w:rPr>
      <w:tab/>
    </w:r>
  </w:p>
  <w:p>
    <w:pPr>
      <w:pStyle w:val="Piè di pagina"/>
      <w:jc w:val="center"/>
    </w:pPr>
    <w:r>
      <w:rPr>
        <w:rStyle w:val="Nessuno A"/>
      </w:rPr>
      <w:drawing xmlns:a="http://schemas.openxmlformats.org/drawingml/2006/main">
        <wp:inline distT="0" distB="0" distL="0" distR="0">
          <wp:extent cx="2866390" cy="619125"/>
          <wp:effectExtent l="0" t="0" r="0" b="0"/>
          <wp:docPr id="1073741840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0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390" cy="61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 A"/>
      </w:rPr>
      <mc:AlternateContent>
        <mc:Choice Requires="wps">
          <w:drawing xmlns:a="http://schemas.openxmlformats.org/drawingml/2006/main">
            <wp:inline distT="0" distB="0" distL="0" distR="0">
              <wp:extent cx="2866390" cy="619125"/>
              <wp:effectExtent l="0" t="0" r="0" b="0"/>
              <wp:docPr id="1073741841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90" cy="6191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40" style="visibility:visible;width:225.7pt;height:48.8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Piè di pagina"/>
      <w:tabs>
        <w:tab w:val="clear" w:pos="4819"/>
        <w:tab w:val="clear" w:pos="9638"/>
      </w:tabs>
    </w:pPr>
  </w:p>
  <w:p>
    <w:pPr>
      <w:pStyle w:val="Piè di pagina"/>
    </w:pPr>
  </w:p>
  <w:p>
    <w:pPr>
      <w:pStyle w:val="Normale"/>
      <w:bidi w:val="0"/>
      <w:ind w:left="0" w:right="0" w:firstLine="0"/>
      <w:jc w:val="center"/>
      <w:rPr>
        <w:shd w:val="nil" w:color="auto" w:fill="auto"/>
        <w:rtl w:val="0"/>
      </w:rPr>
    </w:pPr>
    <w:r>
      <w:rPr>
        <w:i w:val="1"/>
        <w:iCs w:val="1"/>
        <w:sz w:val="20"/>
        <w:szCs w:val="20"/>
        <w:shd w:val="nil" w:color="auto" w:fill="auto"/>
        <w:rtl w:val="0"/>
        <w:lang w:val="it-IT"/>
      </w:rPr>
      <w:t xml:space="preserve">Via S. Anastasio 15 TRIESTE  </w:t>
    </w:r>
    <w:r>
      <w:rPr>
        <w:i w:val="1"/>
        <w:iCs w:val="1"/>
        <w:sz w:val="20"/>
        <w:szCs w:val="20"/>
        <w:shd w:val="nil" w:color="auto" w:fill="auto"/>
        <w:rtl w:val="0"/>
        <w:lang w:val="it-IT"/>
      </w:rPr>
      <w:t xml:space="preserve">Tel. </w:t>
    </w:r>
    <w:r>
      <w:rPr>
        <w:i w:val="1"/>
        <w:iCs w:val="1"/>
        <w:sz w:val="20"/>
        <w:szCs w:val="20"/>
        <w:shd w:val="nil" w:color="auto" w:fill="auto"/>
        <w:rtl w:val="0"/>
      </w:rPr>
      <w:t>040 363292</w:t>
    </w:r>
    <w:r>
      <w:rPr>
        <w:i w:val="1"/>
        <w:iCs w:val="1"/>
        <w:sz w:val="20"/>
        <w:szCs w:val="20"/>
        <w:shd w:val="nil" w:color="auto" w:fill="auto"/>
        <w:rtl w:val="0"/>
        <w:lang w:val="it-IT"/>
      </w:rPr>
      <w:t xml:space="preserve"> - Codice Fiscale: </w:t>
    </w:r>
    <w:r>
      <w:rPr>
        <w:i w:val="1"/>
        <w:iCs w:val="1"/>
        <w:sz w:val="20"/>
        <w:szCs w:val="20"/>
        <w:shd w:val="nil" w:color="auto" w:fill="auto"/>
        <w:rtl w:val="0"/>
      </w:rPr>
      <w:t>90089570320</w:t>
    </w:r>
  </w:p>
  <w:p>
    <w:pPr>
      <w:pStyle w:val="Normale"/>
      <w:bidi w:val="0"/>
      <w:ind w:left="0" w:right="0" w:firstLine="0"/>
      <w:jc w:val="center"/>
      <w:rPr>
        <w:b w:val="1"/>
        <w:bCs w:val="1"/>
        <w:i w:val="1"/>
        <w:iCs w:val="1"/>
        <w:sz w:val="20"/>
        <w:szCs w:val="20"/>
        <w:rtl w:val="0"/>
      </w:rPr>
    </w:pPr>
    <w:r>
      <w:rPr>
        <w:b w:val="0"/>
        <w:bCs w:val="0"/>
        <w:i w:val="1"/>
        <w:iCs w:val="1"/>
        <w:sz w:val="20"/>
        <w:szCs w:val="20"/>
        <w:shd w:val="nil" w:color="auto" w:fill="auto"/>
        <w:rtl w:val="0"/>
        <w:lang w:val="en-US"/>
      </w:rPr>
      <w:t xml:space="preserve">C.M.  </w:t>
    </w:r>
    <w:r>
      <w:rPr>
        <w:b w:val="0"/>
        <w:bCs w:val="0"/>
        <w:i w:val="1"/>
        <w:iCs w:val="1"/>
        <w:sz w:val="20"/>
        <w:szCs w:val="20"/>
        <w:shd w:val="nil" w:color="auto" w:fill="auto"/>
        <w:rtl w:val="0"/>
      </w:rPr>
      <w:t xml:space="preserve">TSIC805005 - </w: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www.icviacommerciale.</w:t>
    </w:r>
    <w:r>
      <w:rPr>
        <w:rStyle w:val="Nessuno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edu</w: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14:textFill>
          <w14:solidFill>
            <w14:srgbClr w14:val="0000FF"/>
          </w14:solidFill>
        </w14:textFill>
      </w:rPr>
      <w:t>.it</w:t>
    </w:r>
    <w:r>
      <w:rPr>
        <w:b w:val="1"/>
        <w:bCs w:val="1"/>
        <w:i w:val="1"/>
        <w:iCs w:val="1"/>
        <w:sz w:val="20"/>
        <w:szCs w:val="20"/>
      </w:rPr>
      <w:fldChar w:fldCharType="end" w:fldLock="0"/>
    </w:r>
    <w:r>
      <w:rPr>
        <w:rStyle w:val="Nessuno"/>
        <w:b w:val="0"/>
        <w:bCs w:val="0"/>
        <w:i w:val="1"/>
        <w:iCs w:val="1"/>
        <w:sz w:val="20"/>
        <w:szCs w:val="20"/>
        <w:shd w:val="nil" w:color="auto" w:fill="auto"/>
        <w:rtl w:val="0"/>
      </w:rPr>
      <w:t xml:space="preserve"> e-mail  </w: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>
        <w:b w:val="1"/>
        <w:bCs w:val="1"/>
        <w:i w:val="1"/>
        <w:iCs w:val="1"/>
        <w:sz w:val="20"/>
        <w:szCs w:val="20"/>
      </w:rPr>
      <w:fldChar w:fldCharType="end" w:fldLock="0"/>
    </w:r>
    <w:r>
      <w:rPr>
        <w:rStyle w:val="Nessuno"/>
        <w:b w:val="0"/>
        <w:bCs w:val="0"/>
        <w:i w:val="1"/>
        <w:iCs w:val="1"/>
        <w:sz w:val="20"/>
        <w:szCs w:val="20"/>
        <w:shd w:val="nil" w:color="auto" w:fill="auto"/>
        <w:rtl w:val="0"/>
      </w:rPr>
      <w:t xml:space="preserve">   pec  </w: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>
        <w:b w:val="1"/>
        <w:bCs w:val="1"/>
        <w:i w:val="1"/>
        <w:iCs w:val="1"/>
        <w:sz w:val="20"/>
        <w:szCs w:val="20"/>
      </w:rPr>
      <w:fldChar w:fldCharType="end" w:fldLock="0"/>
    </w:r>
    <w:r>
      <w:rPr>
        <w:b w:val="1"/>
        <w:bCs w:val="1"/>
        <w:i w:val="1"/>
        <w:iCs w:val="1"/>
        <w:sz w:val="20"/>
        <w:szCs w:val="20"/>
      </w:rPr>
      <w:tab/>
    </w:r>
  </w:p>
  <w:p>
    <w:pPr>
      <w:pStyle w:val="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clear" w:pos="4819"/>
        <w:tab w:val="clear" w:pos="9638"/>
      </w:tabs>
      <w:bidi w:val="0"/>
      <w:ind w:left="0" w:right="0" w:firstLine="0"/>
      <w:jc w:val="center"/>
      <w:rPr>
        <w:sz w:val="28"/>
        <w:szCs w:val="28"/>
        <w:shd w:val="nil" w:color="auto" w:fill="auto"/>
        <w:rtl w:val="0"/>
        <w:lang w:val="it-IT"/>
      </w:rPr>
    </w:pPr>
    <w:r>
      <w:rPr>
        <w:sz w:val="28"/>
        <w:szCs w:val="28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2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sz w:val="28"/>
        <w:szCs w:val="28"/>
      </w:rP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1214754</wp:posOffset>
              </wp:positionH>
              <wp:positionV relativeFrom="page">
                <wp:posOffset>206374</wp:posOffset>
              </wp:positionV>
              <wp:extent cx="626110" cy="662306"/>
              <wp:effectExtent l="0" t="0" r="0" b="0"/>
              <wp:wrapNone/>
              <wp:docPr id="1073741835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110" cy="662306"/>
                        <a:chOff x="0" y="0"/>
                        <a:chExt cx="626109" cy="662305"/>
                      </a:xfrm>
                    </wpg:grpSpPr>
                    <wps:wsp>
                      <wps:cNvPr id="1073741833" name="Rettangolo"/>
                      <wps:cNvSpPr/>
                      <wps:spPr>
                        <a:xfrm>
                          <a:off x="0" y="0"/>
                          <a:ext cx="626110" cy="6623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4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724" y="726"/>
                          <a:ext cx="624662" cy="66085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95.7pt;margin-top:16.2pt;width:49.3pt;height:52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26110,662305">
              <w10:wrap type="none" side="bothSides" anchorx="page" anchory="page"/>
              <v:rect id="_x0000_s1029" style="position:absolute;left:0;top:0;width:626110;height:66230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0" type="#_x0000_t75" style="position:absolute;left:724;top:726;width:624661;height:660853;">
                <v:imagedata r:id="rId1" o:title="image.jpeg"/>
              </v:shape>
            </v:group>
          </w:pict>
        </mc:Fallback>
      </mc:AlternateContent>
    </w:r>
    <w:r>
      <w:rPr>
        <w:sz w:val="28"/>
        <w:szCs w:val="28"/>
      </w:rPr>
      <mc:AlternateContent>
        <mc:Choice Requires="wpg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3549014</wp:posOffset>
              </wp:positionH>
              <wp:positionV relativeFrom="page">
                <wp:posOffset>144145</wp:posOffset>
              </wp:positionV>
              <wp:extent cx="463550" cy="897890"/>
              <wp:effectExtent l="0" t="0" r="0" b="0"/>
              <wp:wrapNone/>
              <wp:docPr id="1073741838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50" cy="897890"/>
                        <a:chOff x="0" y="0"/>
                        <a:chExt cx="463550" cy="897889"/>
                      </a:xfrm>
                    </wpg:grpSpPr>
                    <wps:wsp>
                      <wps:cNvPr id="1073741836" name="Rettangolo"/>
                      <wps:cNvSpPr/>
                      <wps:spPr>
                        <a:xfrm>
                          <a:off x="0" y="0"/>
                          <a:ext cx="463550" cy="897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7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 amt="0"/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70" y="68"/>
                          <a:ext cx="463410" cy="89775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1" style="visibility:visible;position:absolute;margin-left:279.4pt;margin-top:11.4pt;width:36.5pt;height:7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63550,897890">
              <w10:wrap type="none" side="bothSides" anchorx="page" anchory="page"/>
              <v:rect id="_x0000_s1032" style="position:absolute;left:0;top:0;width:463550;height:89789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3" type="#_x0000_t75" style="position:absolute;left:71;top:69;width:463409;height:897753;">
                <v:imagedata r:id="rId2" o:title="image.jpeg"/>
              </v:shape>
            </v:group>
          </w:pict>
        </mc:Fallback>
      </mc:AlternateContent>
    </w:r>
    <w:r>
      <w:rPr>
        <w:sz w:val="28"/>
        <w:szCs w:val="28"/>
      </w:rP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2285364</wp:posOffset>
          </wp:positionH>
          <wp:positionV relativeFrom="page">
            <wp:posOffset>12898755</wp:posOffset>
          </wp:positionV>
          <wp:extent cx="2855596" cy="609600"/>
          <wp:effectExtent l="0" t="0" r="0" b="0"/>
          <wp:wrapNone/>
          <wp:docPr id="1073741839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9" name="Immagine" descr="Immagine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6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8"/>
        <w:szCs w:val="28"/>
        <w:shd w:val="nil" w:color="auto" w:fill="auto"/>
        <w:lang w:val="it-IT"/>
      </w:rPr>
      <mc:AlternateContent>
        <mc:Choice Requires="wpg">
          <w:drawing xmlns:a="http://schemas.openxmlformats.org/drawingml/2006/main">
            <wp:inline distT="0" distB="0" distL="0" distR="0">
              <wp:extent cx="1310640" cy="529581"/>
              <wp:effectExtent l="0" t="0" r="0" b="0"/>
              <wp:docPr id="1073741828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640" cy="529581"/>
                        <a:chOff x="0" y="0"/>
                        <a:chExt cx="1310639" cy="529580"/>
                      </a:xfrm>
                    </wpg:grpSpPr>
                    <wps:wsp>
                      <wps:cNvPr id="1073741826" name="Rettangolo"/>
                      <wps:cNvSpPr/>
                      <wps:spPr>
                        <a:xfrm>
                          <a:off x="0" y="0"/>
                          <a:ext cx="1310640" cy="5295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alphaModFix amt="0"/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279" y="274"/>
                          <a:ext cx="1310082" cy="52903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4" style="visibility:visible;width:103.2pt;height:41.7pt;" coordorigin="0,0" coordsize="1310640,529580">
              <v:rect id="_x0000_s1035" style="position:absolute;left:0;top:0;width:1310640;height:52958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6" type="#_x0000_t75" style="position:absolute;left:280;top:274;width:1310080;height:529032;">
                <v:imagedata r:id="rId4" o:title="image.jpeg"/>
              </v:shape>
            </v:group>
          </w:pict>
        </mc:Fallback>
      </mc:AlternateContent>
    </w:r>
    <w:r>
      <w:rPr>
        <w:sz w:val="28"/>
        <w:szCs w:val="28"/>
        <w:shd w:val="nil" w:color="auto" w:fill="auto"/>
        <w:lang w:val="it-IT"/>
      </w:rPr>
      <w:tab/>
    </w:r>
    <w:r>
      <w:rPr>
        <w:sz w:val="28"/>
        <w:szCs w:val="28"/>
        <w:shd w:val="nil" w:color="auto" w:fill="auto"/>
        <w:lang w:val="it-IT"/>
      </w:rPr>
      <mc:AlternateContent>
        <mc:Choice Requires="wpg">
          <w:drawing xmlns:a="http://schemas.openxmlformats.org/drawingml/2006/main">
            <wp:inline distT="0" distB="0" distL="0" distR="0">
              <wp:extent cx="749608" cy="749608"/>
              <wp:effectExtent l="0" t="0" r="0" b="0"/>
              <wp:docPr id="1073741831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608" cy="749608"/>
                        <a:chOff x="0" y="0"/>
                        <a:chExt cx="749607" cy="749607"/>
                      </a:xfrm>
                    </wpg:grpSpPr>
                    <wps:wsp>
                      <wps:cNvPr id="1073741829" name="Quadrato"/>
                      <wps:cNvSpPr/>
                      <wps:spPr>
                        <a:xfrm>
                          <a:off x="0" y="0"/>
                          <a:ext cx="749608" cy="749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alphaModFix amt="0"/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68" y="68"/>
                          <a:ext cx="749472" cy="74947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7" style="visibility:visible;width:59.0pt;height:59.0pt;" coordorigin="0,0" coordsize="749608,749608">
              <v:rect id="_x0000_s1038" style="position:absolute;left:0;top:0;width:749608;height:749608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9" type="#_x0000_t75" style="position:absolute;left:69;top:69;width:749471;height:749471;">
                <v:imagedata r:id="rId5" o:title="image.jpeg"/>
              </v:shape>
            </v:group>
          </w:pict>
        </mc:Fallback>
      </mc:AlternateContent>
    </w:r>
  </w:p>
  <w:p>
    <w:pPr>
      <w:pStyle w:val="Intestazione"/>
      <w:tabs>
        <w:tab w:val="clear" w:pos="4819"/>
        <w:tab w:val="clear" w:pos="9638"/>
      </w:tabs>
      <w:bidi w:val="0"/>
      <w:ind w:left="0" w:right="0" w:firstLine="0"/>
      <w:jc w:val="center"/>
      <w:rPr>
        <w:shd w:val="nil" w:color="auto" w:fill="auto"/>
        <w:rtl w:val="0"/>
      </w:rPr>
    </w:pPr>
    <w:r>
      <w:rPr>
        <w:shd w:val="nil" w:color="auto" w:fill="auto"/>
        <w:rtl w:val="0"/>
        <w:lang w:val="it-IT"/>
      </w:rPr>
      <w:tab/>
      <w:t>ISTITUTO COMPRENSIVO DI VIA COMMERCIALE</w:t>
    </w:r>
  </w:p>
  <w:p>
    <w:pPr>
      <w:pStyle w:val="Intestazione"/>
      <w:tabs>
        <w:tab w:val="clear" w:pos="4819"/>
        <w:tab w:val="clear" w:pos="9638"/>
      </w:tabs>
      <w:bidi w:val="0"/>
      <w:ind w:left="0" w:right="0" w:firstLine="0"/>
      <w:jc w:val="center"/>
      <w:rPr>
        <w:shd w:val="nil" w:color="auto" w:fill="auto"/>
        <w:rtl w:val="0"/>
      </w:rPr>
    </w:pPr>
    <w:r>
      <w:rPr>
        <w:sz w:val="20"/>
        <w:szCs w:val="20"/>
        <w:shd w:val="nil" w:color="auto" w:fill="auto"/>
        <w:rtl w:val="0"/>
        <w:lang w:val="it-IT"/>
      </w:rPr>
      <w:t>Scuola dell</w:t>
    </w:r>
    <w:r>
      <w:rPr>
        <w:sz w:val="20"/>
        <w:szCs w:val="20"/>
        <w:shd w:val="nil" w:color="auto" w:fill="auto"/>
        <w:rtl w:val="0"/>
        <w:lang w:val="it-IT"/>
      </w:rPr>
      <w:t>’</w:t>
    </w:r>
    <w:r>
      <w:rPr>
        <w:sz w:val="20"/>
        <w:szCs w:val="20"/>
        <w:shd w:val="nil" w:color="auto" w:fill="auto"/>
        <w:rtl w:val="0"/>
        <w:lang w:val="it-IT"/>
      </w:rPr>
      <w:t>Infanzia R. Manna e F. Tomizza, Primaria R. Manna e V. Longo</w:t>
    </w:r>
  </w:p>
  <w:p>
    <w:pPr>
      <w:pStyle w:val="Intestazione"/>
      <w:tabs>
        <w:tab w:val="clear" w:pos="4819"/>
        <w:tab w:val="clear" w:pos="9638"/>
      </w:tabs>
      <w:bidi w:val="0"/>
      <w:ind w:left="0" w:right="0" w:firstLine="0"/>
      <w:jc w:val="center"/>
      <w:rPr>
        <w:rtl w:val="0"/>
      </w:rPr>
    </w:pPr>
    <w:r>
      <w:rPr>
        <w:sz w:val="20"/>
        <w:szCs w:val="20"/>
        <w:shd w:val="nil" w:color="auto" w:fill="auto"/>
        <w:rtl w:val="0"/>
        <w:lang w:val="it-IT"/>
      </w:rPr>
      <w:t>e Secondaria di primo grado G. Corsi</w:t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709" w:hanging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818" w:hanging="8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389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989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2589" w:hanging="4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189" w:hanging="5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789" w:hanging="65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389" w:hanging="76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989" w:hanging="8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053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853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265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45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253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5853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217"/>
          <w:tab w:val="left" w:pos="9700"/>
        </w:tabs>
        <w:ind w:left="6653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709" w:hanging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818" w:hanging="8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389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989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2589" w:hanging="4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189" w:hanging="5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789" w:hanging="65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389" w:hanging="76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989" w:hanging="8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1063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1863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2663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3463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4263" w:hanging="9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49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5863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  <w:tab w:val="left" w:pos="9217"/>
            <w:tab w:val="left" w:pos="9700"/>
          </w:tabs>
          <w:ind w:left="6663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