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1" w:line="259" w:lineRule="auto"/>
        <w:ind w:left="433" w:firstLine="0"/>
        <w:jc w:val="left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                                                                             </w:t>
      </w:r>
    </w:p>
    <w:p>
      <w:pPr>
        <w:pStyle w:val="Normal.0"/>
        <w:spacing w:after="11" w:line="259" w:lineRule="auto"/>
        <w:ind w:left="433" w:firstLine="0"/>
        <w:jc w:val="left"/>
        <w:rPr>
          <w:rStyle w:val="Nessuno"/>
          <w:rFonts w:ascii="Times New Roman" w:cs="Times New Roman" w:hAnsi="Times New Roman" w:eastAsia="Times New Roman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kern w:val="1"/>
          <w:u w:color="000000"/>
          <w:rtl w:val="0"/>
          <w:lang w:val="it-IT"/>
        </w:rPr>
        <w:t xml:space="preserve">OGGETTO: </w:t>
      </w:r>
      <w:r>
        <w:rPr>
          <w:rStyle w:val="Nessuno"/>
          <w:rFonts w:ascii="Times New Roman" w:hAnsi="Times New Roman"/>
          <w:b w:val="1"/>
          <w:bCs w:val="1"/>
          <w:kern w:val="1"/>
          <w:u w:color="000000"/>
          <w:rtl w:val="0"/>
          <w:lang w:val="it-IT"/>
        </w:rPr>
        <w:t>Vademecum minimo di norme utili - FONTI PRIMARIE ED EQUIPARATE -  pubblicazione ai sensi dell</w:t>
      </w:r>
      <w:r>
        <w:rPr>
          <w:rStyle w:val="Nessuno"/>
          <w:rFonts w:ascii="Times New Roman" w:hAnsi="Times New Roman" w:hint="default"/>
          <w:b w:val="1"/>
          <w:bCs w:val="1"/>
          <w:kern w:val="1"/>
          <w:u w:color="000000"/>
          <w:rtl w:val="0"/>
          <w:lang w:val="it-IT"/>
        </w:rPr>
        <w:t xml:space="preserve">’ </w:t>
      </w:r>
      <w:r>
        <w:rPr>
          <w:rStyle w:val="Nessuno"/>
          <w:rFonts w:ascii="Times New Roman" w:hAnsi="Times New Roman"/>
          <w:b w:val="1"/>
          <w:bCs w:val="1"/>
          <w:kern w:val="1"/>
          <w:u w:color="000000"/>
          <w:rtl w:val="0"/>
          <w:lang w:val="it-IT"/>
        </w:rPr>
        <w:t xml:space="preserve">Art. 12, comma 1, D.Lgs. n. 33/2013 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Style w:val="Nessuno"/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kern w:val="1"/>
          <w:u w:color="000000"/>
          <w:rtl w:val="0"/>
          <w:lang w:val="it-IT"/>
        </w:rPr>
        <w:t xml:space="preserve">Con il presente vademecum si vuole offrire ai docenti interessati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uno strumento di minima per orientarsi nelle complesse norme della legislazione scolastica e delle norme ad essa direttamente correlate, con particolare attenzione alle norme che riguardano il primo ciclo di istruzione.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>Si sono scelte fonti normative dal valore pi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 xml:space="preserve">ù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generale, omettendo tantissime fonti normative pi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 xml:space="preserve">ù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specifiche e quasi tutte le fonti di diritto internazionale (come ad esempio la CRC); si sono omesse anche tutte le norme legate al codice penale e ai delitti che possono compiere anche i ragazzi (spesso inconsapevolmente), anche per la specificit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elevata che sarebbe necessaria per una corretta trattazione del tema, pur se per sommi capi.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>Per semplicit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di lettura e facilit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di ricerca le norme sono state raccolte in alcuni capitoli. La scelta di cosa inserire in ogni capitolo 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 xml:space="preserve">è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naturalmente puramente personale.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Accanto ad ogni norma 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 xml:space="preserve">è 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presente il link alla banca dati Normattiva o altra fonte Istituzionale in caso di diritto Internazionale 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Style w:val="Nessuno"/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kern w:val="1"/>
          <w:u w:color="000000"/>
          <w:rtl w:val="0"/>
          <w:lang w:val="it-IT"/>
        </w:rPr>
        <w:t xml:space="preserve">COSTITUZIONE </w: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"https://www.normattiva.it/uri-res/N2Ls?urn:nir:stato:costituzione"</w:instrTex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b w:val="1"/>
          <w:bCs w:val="1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https://www.normattiva.it/uri-res/N2Ls?urn:nir:stato:costituzione</w:t>
      </w:r>
      <w:r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it-IT"/>
        </w:rPr>
        <w:fldChar w:fldCharType="end" w:fldLock="0"/>
      </w:r>
      <w:r>
        <w:rPr>
          <w:rFonts w:ascii="Times New Roman" w:hAnsi="Times New Roman"/>
          <w:b w:val="1"/>
          <w:bCs w:val="1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Style w:val="Nessuno"/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Style w:val="Nessuno"/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kern w:val="1"/>
          <w:u w:color="000000"/>
          <w:rtl w:val="0"/>
          <w:lang w:val="it-IT"/>
        </w:rPr>
        <w:t>Importanti sia i principi fondamentali (1-12, con il 9 rinnovato) che soprattutto gli art: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Style w:val="Nessuno"/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kern w:val="1"/>
          <w:u w:color="000000"/>
          <w:rtl w:val="0"/>
          <w:lang w:val="it-IT"/>
        </w:rPr>
        <w:t xml:space="preserve">15, 18, 21, 24, 28, 30, 32, 33, 34, 97, 117 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Style w:val="Nessuno"/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Style w:val="Nessuno"/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b w:val="1"/>
          <w:bCs w:val="1"/>
          <w:kern w:val="1"/>
          <w:u w:color="000000"/>
          <w:rtl w:val="0"/>
          <w:lang w:val="it-IT"/>
        </w:rPr>
        <w:t xml:space="preserve">SISTEMA PUBBLICO, </w:t>
      </w:r>
      <w:r>
        <w:rPr>
          <w:rFonts w:ascii="Times New Roman" w:hAnsi="Times New Roman"/>
          <w:b w:val="1"/>
          <w:bCs w:val="1"/>
          <w:kern w:val="1"/>
          <w:u w:color="000000"/>
          <w:rtl w:val="0"/>
          <w:lang w:val="it-IT"/>
        </w:rPr>
        <w:t>ATTI AMMINISTRATIVI E APPALTI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Style w:val="Nessuno"/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kern w:val="1"/>
          <w:u w:color="000000"/>
          <w:rtl w:val="0"/>
          <w:lang w:val="it-IT"/>
        </w:rPr>
        <w:t xml:space="preserve">L. 241/90 (e succ modifiche ed integrazioni) - </w:t>
      </w:r>
      <w:r>
        <w:rPr>
          <w:rStyle w:val="Nessuno"/>
          <w:rFonts w:ascii="Times New Roman" w:hAnsi="Times New Roman"/>
          <w:kern w:val="1"/>
          <w:u w:color="000000"/>
          <w:rtl w:val="0"/>
          <w:lang w:val="it-IT"/>
        </w:rPr>
        <w:t>Nuove norme in materia di procedimento amministrativo e di diritto di accesso ai documenti amministrativi</w:t>
      </w:r>
      <w:r>
        <w:rPr>
          <w:rStyle w:val="Nessuno"/>
          <w:rFonts w:ascii="Times New Roman" w:hAnsi="Times New Roman"/>
          <w:kern w:val="1"/>
          <w:u w:color="000000"/>
          <w:rtl w:val="0"/>
          <w:lang w:val="it-IT"/>
        </w:rPr>
        <w:t xml:space="preserve">: 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 xml:space="preserve">è 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la legge fondamentale per tutta la gestione degli atti amministrativi. -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https://www.normattiva.it/uri-res/N2Ls?urn:nir:stato:legge:1990-08-07;241!vig=#:~:text=La%20pubblica%20amministrazione%20non%20puo,e%20della%20buona%20fede)).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(e succ. modifiche ed integrazioni)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Norme generali sull'ordinamento del lavoro alle dipendenze delle amministrazioni pubbliche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- In particolare sono importanti gli art. 5, 7, 25,  da 40 a 42, da 51 a 55 octies -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"https://www.normattiva.it/uri-res/N2Ls?urn:nir:stato:decreto.legislativo:2001-03-30;165"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https://www.normattiva.it/uri-res/N2Ls?urn:nir:stato:decreto.legislativo:2001-03-30;165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  <w:fldChar w:fldCharType="end" w:fldLock="0"/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L. 146/90 -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Norme sull'esercizio del diritto di sciopero nei servizi pubblici essenziali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. 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"https://www.normattiva.it/uri-res/N2Ls?urn:nir:stato:legge:1990-06-12;146!vig=2016-01-25"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https://www.normattiva.it/uri-res/N2Ls?urn:nir:stato:legge:1990-06-12;146!vig=2016-01-25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  <w:fldChar w:fldCharType="end" w:fldLock="0"/>
      </w: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L. 300/1970 -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Norme sulla tutela della liberta' e dignita' dei lavoratori, della liberta' sindacale e dell'attivita' sindacale, nei luoghi di lavoro e norme sul collocamento.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- 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 xml:space="preserve">è 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una fonte normativa chiave in merito al diritto sindacale, che bisogna leggere assieme alle fonti di matrice contrattuale e del diritto civile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"https://www.normattiva.it/uri-res/N2Ls?urn:nir:stato:legge:1970-05-20;300!vig="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https://www.normattiva.it/uri-res/N2Ls?urn:nir:stato:legge:1970-05-20;300!vig=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  <w:fldChar w:fldCharType="end" w:fldLock="0"/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D.lgs 33/13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Riordino della disciplina riguardante il diritto di accesso civico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- Completa la strutturazione dell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>’</w:t>
      </w:r>
      <w:r>
        <w:rPr>
          <w:rFonts w:ascii="Times New Roman" w:hAnsi="Times New Roman"/>
          <w:kern w:val="1"/>
          <w:u w:color="000000"/>
          <w:rtl w:val="0"/>
          <w:lang w:val="it-IT"/>
        </w:rPr>
        <w:t>accesso agli atti della PA con l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>’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accesso civico. -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"https://www.normattiva.it/uri-res/N2Ls?urn:nir:stato:decreto.legislativo:2013-03-14;33!vig="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https://www.normattiva.it/uri-res/N2Ls?urn:nir:stato:decreto.legislativo:2013-03-14;33!vig=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  <w:fldChar w:fldCharType="end" w:fldLock="0"/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D.lgs 82/05 (e succ. modifiche e integrazioni) -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Codice dell'Amministrazione Digitale (CAD)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-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"https://www.normattiva.it/uri-res/N2Ls?urn:nir:stato:decreto.legislativo:2005-03-07;82"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https://www.normattiva.it/uri-res/N2Ls?urn:nir:stato:decreto.legislativo:2005-03-07;82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  <w:fldChar w:fldCharType="end" w:fldLock="0"/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D.lgs 50/16 (e succ. modifiche ed integrazioni) -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Codice dei contratti pubblici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.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"https://www.normattiva.it/uri-res/N2Ls?urn:nir:stato:decreto.legislativo:2016;50"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https://www.normattiva.it/uri-res/N2Ls?urn:nir:stato:decreto.legislativo:2016;50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  <w:fldChar w:fldCharType="end" w:fldLock="0"/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D.lgs 36/2023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Codice dei contratti pubblici in attuazione dell'articolo 1 della legge 21 giugno 2022, n. 78, recante delega al Governo in materia di contratti pubblici.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> 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"https://www.normattiva.it/uri-res/N2Ls?urn:nir:stato:decreto.legislativo:2023-03-31;36"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https://www.normattiva.it/uri-res/N2Ls?urn:nir:stato:decreto.legislativo:2023-03-31;36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  <w:fldChar w:fldCharType="end" w:fldLock="0"/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Codice Civile libro IV -  delle obbligazioni -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"https://www.normattiva.it/uri-res/N2Ls?urn:nir:stato:codice.civile:1942-03-16;262"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https://www.normattiva.it/uri-res/N2Ls?urn:nir:stato:codice.civile:1942-03-16;262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  <w:fldChar w:fldCharType="end" w:fldLock="0"/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Style w:val="Nessuno"/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Style w:val="Nessuno"/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kern w:val="1"/>
          <w:u w:color="000000"/>
          <w:rtl w:val="0"/>
          <w:lang w:val="it-IT"/>
        </w:rPr>
        <w:t>SISTEMA SCUOLA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Style w:val="Nessuno"/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kern w:val="1"/>
          <w:u w:color="000000"/>
          <w:rtl w:val="0"/>
          <w:lang w:val="it-IT"/>
        </w:rPr>
        <w:t xml:space="preserve">D.lgs 297/94 - </w:t>
      </w:r>
      <w:r>
        <w:rPr>
          <w:rStyle w:val="Nessuno"/>
          <w:rFonts w:ascii="Times New Roman" w:hAnsi="Times New Roman" w:hint="default"/>
          <w:kern w:val="1"/>
          <w:u w:color="000000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kern w:val="1"/>
          <w:u w:color="000000"/>
          <w:rtl w:val="0"/>
          <w:lang w:val="it-IT"/>
        </w:rPr>
        <w:t xml:space="preserve">il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Testo Unico delle disposizioni legislative in materia di istruzione</w:t>
      </w:r>
      <w:r>
        <w:rPr>
          <w:rFonts w:ascii="Times New Roman" w:hAnsi="Times New Roman"/>
          <w:kern w:val="1"/>
          <w:u w:color="000000"/>
          <w:rtl w:val="0"/>
          <w:lang w:val="it-IT"/>
        </w:rPr>
        <w:t>, ancora vigente in molte sue parti. Le parti pi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 xml:space="preserve">ù 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importanti da conoscere sono gli articoli da 5 a 11 che definiscono i ruoli degli OO.CC.; da 312 a 324 che riguardano la tutela dei disabili; da 492 a 501 per la parte disciplinare dei docenti -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"https://www.normattiva.it/uri-res/N2Ls?urn:nir:stato:decreto.legislativo:1994-04-16;297!vig="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https://www.normattiva.it/uri-res/N2Ls?urn:nir:stato:decreto.legislativo:1994-04-16;297!vig=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  <w:fldChar w:fldCharType="end" w:fldLock="0"/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L. 107/15 -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Riforma del sistema nazionale di istruzione e formazione e delega per il riordino delle disposizioni legislative vigenti.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> 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 xml:space="preserve">È 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una fonte normativa molto complessa e composita; prevede diversi decreti applicativi, alcuni dei quali sono stati citati; tra le varie modifiche molto importanti sono quelle che riguardano la formulazione del PTOF:  il ruolo del Collegio, del Consiglio e del DS sono stati rimodulati.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"https://www.normattiva.it/uri-res/N2Ls?urn:nir:stato:legge:2015-07-13;107"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https://www.normattiva.it/uri-res/N2Ls?urn:nir:stato:legge:2015-07-13;107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  <w:fldChar w:fldCharType="end" w:fldLock="0"/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D.L. 148/17 (convertito in L. 172/17)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Disposizioni urgenti in materia finanziaria e per esigenze indifferibil</w:t>
      </w:r>
      <w:r>
        <w:rPr>
          <w:rFonts w:ascii="Times New Roman" w:hAnsi="Times New Roman"/>
          <w:kern w:val="1"/>
          <w:u w:color="000000"/>
          <w:rtl w:val="0"/>
          <w:lang w:val="it-IT"/>
        </w:rPr>
        <w:t>i -  dietro questo nome senza grande significano per la scuola, si cela in realt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un articolo molto importante per la vita quotidiana di alunni e docenti, il 19 bis, che riguarda l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>’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uscita autonoma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"https://www.normattiva.it/uri-res/N2Ls?urn:nir:stato:decreto.legge:2017-10-16;148!vig="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https://www.normattiva.it/uri-res/N2Ls?urn:nir:stato:decreto.legge:2017-10-16;148!vig=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  <w:fldChar w:fldCharType="end" w:fldLock="0"/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kern w:val="1"/>
          <w:u w:color="000000"/>
          <w:rtl w:val="0"/>
          <w:lang w:val="it-IT"/>
        </w:rPr>
        <w:t xml:space="preserve">VALUTAZIONE 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D.lgs 62/17 -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Norme in materia di valutazione e certificazione delle competenze nel primo ciclo ed esami di Stato, a norma dell'articolo 1, commi 180 e 181, lettera i), della legge 13 luglio 2015, n. 107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. Sostituisce per il primo ciclo il DPR 122/09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"https://www.normattiva.it/uri-res/N2Ls?urn:nir:stato:decreto.legislativo:2017-04-13;62"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https://www.normattiva.it/uri-res/N2Ls?urn:nir:stato:decreto.legislativo:2017-04-13;62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  <w:fldChar w:fldCharType="end" w:fldLock="0"/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kern w:val="1"/>
          <w:u w:color="000000"/>
          <w:rtl w:val="0"/>
          <w:lang w:val="it-IT"/>
        </w:rPr>
        <w:t>BES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L.104/92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Legge-quadro per l'assistenza, l'integrazione sociale e i diritti delle persone handicappate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.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"https://www.normattiva.it/uri-res/N2Ls?urn:nir:stato:legge:1992-02-05;104!vig="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https://www.normattiva.it/uri-res/N2Ls?urn:nir:stato:legge:1992-02-05;104!vig=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  <w:fldChar w:fldCharType="end" w:fldLock="0"/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D.lgs 59/04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Definizione delle norme generali relative alla scuola dell'infanzia e al primo ciclo dell'istruzione, a norma dell'articolo 1 della legge 28 marzo 2003, n. 53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. Il D.lgs 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 xml:space="preserve">è 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ancora attuale soprattutto per la personalizzazione degli apprendimenti (art. 7 e succ).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https://www.normattiva.it/uri-res/N2Ls?urn:nir:stato:decreto.legislativo:2004;59~art4#:~:text=La%20scuola%20secondaria%20di%20primo,raccordo%20con%20il%20secondo%20ciclo.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D.lgs 66/17 -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Norme per la promozione dell'inclusione scolastica degli studenti con disabilita', a norma dell'articolo 1, commi 180 e 181, lettera c), della legge 13 luglio 2015, n. 107.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Il D.lgs ha innovato in alcuni punti quanto previsto precedentemente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"https://www.normattiva.it/uri-res/N2Ls?urn:nir:stato:decreto.legislativo:2017-04-13;66"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https://www.normattiva.it/uri-res/N2Ls?urn:nir:stato:decreto.legislativo:2017-04-13;66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  <w:fldChar w:fldCharType="end" w:fldLock="0"/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L. 170/10 -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Nuove norme in materia di disturbi specifici di apprendimento in ambito scolastico.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 xml:space="preserve"> È 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una legge rivoluzionaria per i DSA.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https://www.normattiva.it/uri-res/N2Ls?urn:nir:::2010;170~art5#:~:text=Gli%20studenti%20con%20diagnosi%20di,2.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kern w:val="1"/>
          <w:u w:color="000000"/>
          <w:rtl w:val="0"/>
          <w:lang w:val="it-IT"/>
        </w:rPr>
        <w:t>E-PRIVACY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Regolamento EU 679/16 -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relativo alla protezione delle persone fisiche con riguardo al trattamento dei dati personali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. 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"https://www.garanteprivacy.it/documents/10160/0/Regolamento+UE+2016+679.+Arricchito+con+riferimenti+ai+Considerando+Aggiornato+alle+rettifiche+pubblicate+sulla+Gazzetta+Ufficiale++dell%27Unione+europea+127+del+23+maggio+2018"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https://www.garanteprivacy.it/documents/10160/0/Regolamento+UE+2016+679.+Arricchito+con+riferimenti+ai+Considerando+Aggiornato+alle+rettifiche+pubblicate+sulla+Gazzetta+Ufficiale++dell%27Unione+europea+127+del+23+maggio+2018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  <w:fldChar w:fldCharType="end" w:fldLock="0"/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D.lgs 196/03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Codice in materia di protezione dei dati personali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-  come modificato dalla L. 101/18 - in particolare sono importanti l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>’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art. 2 ter e 2 sexties e 60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"https://www.garanteprivacy.it/documents/10160/0/Codice+in+materia+di+protezione+dei+dati+personali+%28Testo+coordinato%29"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https://www.garanteprivacy.it/documents/10160/0/Codice+in+materia+di+protezione+dei+dati+personali+%28Testo+coordinato%29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  <w:fldChar w:fldCharType="end" w:fldLock="0"/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kern w:val="1"/>
          <w:u w:color="000000"/>
          <w:rtl w:val="0"/>
          <w:lang w:val="it-IT"/>
        </w:rPr>
        <w:t>SICUREZZA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Codice Civile art. 1218, 2043, 2047, 2048, 2087 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"https://www.normattiva.it/uri-res/N2Ls?urn:nir:stato:codice.civile:1942-03-16;262"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https://www.normattiva.it/uri-res/N2Ls?urn:nir:stato:codice.civile:1942-03-16;262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  <w:fldChar w:fldCharType="end" w:fldLock="0"/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D. Lgs 81/08 -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TESTO UNICO SULLA SALUTE E SICUREZZA SUL LAVORO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-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"https://www.normattiva.it/uri-res/N2Ls?urn:nir:stato:decreto.legislativo:2008-04-09;81"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https://www.normattiva.it/uri-res/N2Ls?urn:nir:stato:decreto.legislativo:2008-04-09;81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  <w:fldChar w:fldCharType="end" w:fldLock="0"/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kern w:val="1"/>
          <w:u w:color="000000"/>
          <w:rtl w:val="0"/>
          <w:lang w:val="it-IT"/>
        </w:rPr>
        <w:t>DIDATTICA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L. 92/19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Introduzione dell'insegnamento scolastico dell'educazione civica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(e linee guida allegate) - la norma ha introdotto un nuovo insegnamento curricolare, con necessit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di valutazione ma forte interdisciplinarit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>à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.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https://www.normattiva.it/uri-res/N2Ls?urn:nir:stato:legge:2019;92#:~:text=L'educazione%20civica%20contribuisce%20a,2.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numPr>
          <w:ilvl w:val="0"/>
          <w:numId w:val="2"/>
        </w:numPr>
        <w:suppressAutoHyphens w:val="1"/>
        <w:bidi w:val="0"/>
        <w:spacing w:before="0" w:line="240" w:lineRule="auto"/>
        <w:ind w:right="0"/>
        <w:jc w:val="both"/>
        <w:rPr>
          <w:rFonts w:ascii="Times New Roman" w:hAnsi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L. 71/17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Disposizioni a tutela dei minori per la prevenzione ed il contrasto del fenomeno del cyberbullismo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- La norma prevede diverse azioni. Si inserisce in una vasta produzione di linee guida per il contrasto del fenomeno del bullismo gi</w:t>
      </w:r>
      <w:r>
        <w:rPr>
          <w:rFonts w:ascii="Times New Roman" w:hAnsi="Times New Roman" w:hint="default"/>
          <w:kern w:val="1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precedente. Particolarmente significativo il ruolo di carattere educativo che ha la scuola secondo il legislatore.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"https://www.normattiva.it/uri-res/N2Ls?urn:nir:stato:legge:2017-05-29;71!vig="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kern w:val="1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https://www.normattiva.it/uri-res/N2Ls?urn:nir:stato:legge:2017-05-29;71!vig=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  <w:fldChar w:fldCharType="end" w:fldLock="0"/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 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</w:p>
    <w:p>
      <w:pPr>
        <w:pStyle w:val="Di default"/>
        <w:tabs>
          <w:tab w:val="left" w:pos="684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line="240" w:lineRule="auto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sz w:val="18"/>
          <w:szCs w:val="18"/>
          <w:u w:color="000000"/>
          <w:rtl w:val="0"/>
          <w:lang w:val="it-IT"/>
        </w:rPr>
      </w:pPr>
    </w:p>
    <w:p>
      <w:pPr>
        <w:pStyle w:val="Normal.0"/>
        <w:spacing w:after="11" w:line="259" w:lineRule="auto"/>
        <w:ind w:left="433" w:firstLine="0"/>
        <w:jc w:val="left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spacing w:after="11" w:line="259" w:lineRule="auto"/>
        <w:ind w:left="433" w:firstLine="0"/>
        <w:jc w:val="left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spacing w:after="11" w:line="259" w:lineRule="auto"/>
        <w:ind w:left="433" w:firstLine="0"/>
        <w:jc w:val="left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spacing w:after="11" w:line="259" w:lineRule="auto"/>
        <w:ind w:left="433" w:firstLine="0"/>
        <w:jc w:val="left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spacing w:after="11" w:line="259" w:lineRule="auto"/>
        <w:ind w:left="433" w:firstLine="0"/>
        <w:jc w:val="left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spacing w:after="11" w:line="259" w:lineRule="auto"/>
        <w:ind w:left="433" w:firstLine="0"/>
        <w:jc w:val="left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spacing w:after="11" w:line="259" w:lineRule="auto"/>
        <w:ind w:left="433" w:firstLine="0"/>
        <w:jc w:val="left"/>
        <w:rPr>
          <w:rStyle w:val="Nessuno"/>
          <w:rFonts w:ascii="Times New Roman" w:cs="Times New Roman" w:hAnsi="Times New Roman" w:eastAsia="Times New Roman"/>
        </w:rPr>
      </w:pPr>
    </w:p>
    <w:p>
      <w:pPr>
        <w:pStyle w:val="foot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40"/>
          <w:tab w:val="clear" w:pos="4819"/>
          <w:tab w:val="clear" w:pos="9638"/>
        </w:tabs>
        <w:suppressAutoHyphens w:val="1"/>
        <w:ind w:left="0" w:firstLine="0"/>
        <w:jc w:val="right"/>
        <w:rPr>
          <w:rStyle w:val="Nessuno"/>
          <w:rFonts w:ascii="Times New Roman" w:cs="Times New Roman" w:hAnsi="Times New Roman" w:eastAsia="Times New Roman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Il Dirigente Scolastico</w:t>
      </w:r>
    </w:p>
    <w:p>
      <w:pPr>
        <w:pStyle w:val="foot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40"/>
          <w:tab w:val="clear" w:pos="4819"/>
          <w:tab w:val="clear" w:pos="9638"/>
        </w:tabs>
        <w:suppressAutoHyphens w:val="1"/>
        <w:ind w:left="0" w:firstLine="0"/>
        <w:jc w:val="right"/>
        <w:rPr>
          <w:rStyle w:val="Nessuno"/>
          <w:rFonts w:ascii="Times New Roman" w:cs="Times New Roman" w:hAnsi="Times New Roman" w:eastAsia="Times New Roman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Dott. Benes Roberto</w:t>
      </w:r>
    </w:p>
    <w:p>
      <w:pPr>
        <w:pStyle w:val="foot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40"/>
          <w:tab w:val="clear" w:pos="4819"/>
          <w:tab w:val="clear" w:pos="9638"/>
        </w:tabs>
        <w:suppressAutoHyphens w:val="1"/>
        <w:ind w:left="0" w:firstLine="0"/>
        <w:jc w:val="right"/>
        <w:rPr>
          <w:rStyle w:val="Nessuno"/>
          <w:rFonts w:ascii="Times New Roman" w:cs="Times New Roman" w:hAnsi="Times New Roman" w:eastAsia="Times New Roman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Documento firmato digitalmente ai sensi del </w:t>
      </w:r>
    </w:p>
    <w:p>
      <w:pPr>
        <w:pStyle w:val="foot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40"/>
          <w:tab w:val="clear" w:pos="4819"/>
          <w:tab w:val="clear" w:pos="9638"/>
        </w:tabs>
        <w:suppressAutoHyphens w:val="1"/>
        <w:ind w:left="0" w:firstLine="0"/>
        <w:jc w:val="right"/>
      </w:pPr>
      <w:r>
        <w:rPr>
          <w:rStyle w:val="Nessuno"/>
          <w:rFonts w:ascii="Arial" w:hAnsi="Arial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Codice dell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Amministrazione Digitale e norme ad esso connesse</w:t>
      </w:r>
    </w:p>
    <w:sectPr>
      <w:headerReference w:type="default" r:id="rId4"/>
      <w:footerReference w:type="default" r:id="rId5"/>
      <w:pgSz w:w="11900" w:h="16840" w:orient="portrait"/>
      <w:pgMar w:top="1449" w:right="1004" w:bottom="235" w:left="95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iberation Serif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ind w:left="0" w:firstLine="0"/>
      <w:jc w:val="center"/>
    </w:pPr>
    <w:r>
      <w:rPr>
        <w:rFonts w:ascii="Liberation Serif" w:cs="Liberation Serif" w:hAnsi="Liberation Serif" w:eastAsia="Liberation Serif"/>
        <w:i w:val="1"/>
        <w:iCs w:val="1"/>
        <w:sz w:val="20"/>
        <w:szCs w:val="20"/>
        <w:rtl w:val="0"/>
        <w:lang w:val="it-IT"/>
      </w:rPr>
      <w:t>Via. Sant</w:t>
    </w:r>
    <w:r>
      <w:rPr>
        <w:rFonts w:ascii="Liberation Serif" w:cs="Liberation Serif" w:hAnsi="Liberation Serif" w:eastAsia="Liberation Serif"/>
        <w:i w:val="1"/>
        <w:iCs w:val="1"/>
        <w:sz w:val="20"/>
        <w:szCs w:val="20"/>
        <w:rtl w:val="0"/>
        <w:lang w:val="it-IT"/>
      </w:rPr>
      <w:t>’</w:t>
    </w:r>
    <w:r>
      <w:rPr>
        <w:rFonts w:ascii="Liberation Serif" w:cs="Liberation Serif" w:hAnsi="Liberation Serif" w:eastAsia="Liberation Serif"/>
        <w:i w:val="1"/>
        <w:iCs w:val="1"/>
        <w:sz w:val="20"/>
        <w:szCs w:val="20"/>
        <w:rtl w:val="0"/>
        <w:lang w:val="it-IT"/>
      </w:rPr>
      <w:t>Anastasio 15 TRIESTE  Tel. 040 363292 - Codice Fiscale: 90089570320</w:t>
    </w:r>
  </w:p>
  <w:p>
    <w:pPr>
      <w:pStyle w:val="footer"/>
    </w:pPr>
    <w:r>
      <w:rPr>
        <w:rFonts w:ascii="Liberation Serif" w:cs="Liberation Serif" w:hAnsi="Liberation Serif" w:eastAsia="Liberation Serif"/>
        <w:i w:val="1"/>
        <w:iCs w:val="1"/>
        <w:sz w:val="20"/>
        <w:szCs w:val="20"/>
        <w:rtl w:val="0"/>
        <w:lang w:val="en-US"/>
      </w:rPr>
      <w:t xml:space="preserve">C.M.  </w:t>
    </w:r>
    <w:r>
      <w:rPr>
        <w:rFonts w:ascii="Liberation Serif" w:cs="Liberation Serif" w:hAnsi="Liberation Serif" w:eastAsia="Liberation Serif"/>
        <w:i w:val="1"/>
        <w:iCs w:val="1"/>
        <w:sz w:val="20"/>
        <w:szCs w:val="20"/>
        <w:rtl w:val="0"/>
        <w:lang w:val="it-IT"/>
      </w:rPr>
      <w:t xml:space="preserve">TSIC805005 - </w:t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instrText xml:space="preserve"> HYPERLINK "http://www.icviacommerciale.edu.it/"</w:instrText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rtl w:val="0"/>
        <w:lang w:val="it-IT"/>
        <w14:textFill>
          <w14:solidFill>
            <w14:srgbClr w14:val="0000FF"/>
          </w14:solidFill>
        </w14:textFill>
      </w:rPr>
      <w:t>www.icviacommerciale.edu.it</w:t>
    </w:r>
    <w:r>
      <w:rPr/>
      <w:fldChar w:fldCharType="end" w:fldLock="0"/>
    </w:r>
    <w:r>
      <w:rPr>
        <w:rStyle w:val="Nessuno"/>
        <w:rFonts w:ascii="Liberation Serif" w:cs="Liberation Serif" w:hAnsi="Liberation Serif" w:eastAsia="Liberation Serif"/>
        <w:i w:val="1"/>
        <w:iCs w:val="1"/>
        <w:sz w:val="20"/>
        <w:szCs w:val="20"/>
        <w:rtl w:val="0"/>
        <w:lang w:val="it-IT"/>
      </w:rPr>
      <w:t xml:space="preserve"> e-mail  </w:t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instrText xml:space="preserve"> HYPERLINK "mailto:tsic805005@istruzione.it"</w:instrText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rtl w:val="0"/>
        <w:lang w:val="it-IT"/>
        <w14:textFill>
          <w14:solidFill>
            <w14:srgbClr w14:val="0000FF"/>
          </w14:solidFill>
        </w14:textFill>
      </w:rPr>
      <w:t>tsic805005@istruzione.it</w:t>
    </w:r>
    <w:r>
      <w:rPr/>
      <w:fldChar w:fldCharType="end" w:fldLock="0"/>
    </w:r>
    <w:r>
      <w:rPr>
        <w:rStyle w:val="Nessuno"/>
        <w:rFonts w:ascii="Liberation Serif" w:cs="Liberation Serif" w:hAnsi="Liberation Serif" w:eastAsia="Liberation Serif"/>
        <w:i w:val="1"/>
        <w:iCs w:val="1"/>
        <w:sz w:val="20"/>
        <w:szCs w:val="20"/>
        <w:rtl w:val="0"/>
        <w:lang w:val="it-IT"/>
      </w:rPr>
      <w:t xml:space="preserve">   pec  </w:t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instrText xml:space="preserve"> HYPERLINK "mailto:tsic805005@pec.istruzione.it"</w:instrText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rtl w:val="0"/>
        <w:lang w:val="it-IT"/>
        <w14:textFill>
          <w14:solidFill>
            <w14:srgbClr w14:val="0000FF"/>
          </w14:solidFill>
        </w14:textFill>
      </w:rPr>
      <w:t>tsic805005@pec.istruzione.it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11" w:line="259" w:lineRule="auto"/>
      <w:ind w:left="433" w:firstLine="0"/>
      <w:jc w:val="left"/>
      <w:rPr>
        <w:rFonts w:ascii="Calibri" w:cs="Calibri" w:hAnsi="Calibri" w:eastAsia="Calibri"/>
        <w:sz w:val="22"/>
        <w:szCs w:val="22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6009637</wp:posOffset>
          </wp:positionH>
          <wp:positionV relativeFrom="page">
            <wp:posOffset>466090</wp:posOffset>
          </wp:positionV>
          <wp:extent cx="566643" cy="899059"/>
          <wp:effectExtent l="0" t="0" r="0" b="0"/>
          <wp:wrapNone/>
          <wp:docPr id="1073741827" name="officeArt object" descr="Picture 16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669" descr="Picture 166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643" cy="8990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sz w:val="22"/>
        <w:szCs w:val="22"/>
      </w:rPr>
      <w:tab/>
    </w:r>
    <w:r>
      <w:drawing xmlns:a="http://schemas.openxmlformats.org/drawingml/2006/main">
        <wp:inline distT="0" distB="0" distL="0" distR="0">
          <wp:extent cx="666426" cy="693590"/>
          <wp:effectExtent l="0" t="0" r="0" b="0"/>
          <wp:docPr id="1073741825" name="officeArt object" descr="Picture 16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667" descr="Picture 1667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26" cy="693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sz w:val="22"/>
        <w:szCs w:val="22"/>
        <w:rtl w:val="0"/>
        <w:lang w:val="it-IT"/>
      </w:rPr>
      <w:t xml:space="preserve">                                       </w:t>
    </w:r>
    <w:r>
      <w:rPr>
        <w:rFonts w:ascii="Calibri" w:cs="Calibri" w:hAnsi="Calibri" w:eastAsia="Calibri"/>
        <w:sz w:val="22"/>
        <w:szCs w:val="22"/>
      </w:rPr>
      <w:drawing xmlns:a="http://schemas.openxmlformats.org/drawingml/2006/main">
        <wp:inline distT="0" distB="0" distL="0" distR="0">
          <wp:extent cx="1554481" cy="719456"/>
          <wp:effectExtent l="0" t="0" r="0" b="0"/>
          <wp:docPr id="1073741826" name="officeArt object" descr="Immagine 1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61" descr="Immagine 161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1" cy="7194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spacing w:after="11" w:line="259" w:lineRule="auto"/>
      <w:ind w:left="433" w:firstLine="0"/>
      <w:jc w:val="left"/>
    </w:pPr>
  </w:p>
  <w:p>
    <w:pPr>
      <w:pStyle w:val="heading 1"/>
    </w:pPr>
    <w:r>
      <w:rPr>
        <w:rtl w:val="0"/>
        <w:lang w:val="it-IT"/>
      </w:rPr>
      <w:t>ISTITUTO COMPRENSIVO MARGHERITA HACK</w:t>
    </w:r>
    <w:r>
      <w:br w:type="textWrapping"/>
    </w:r>
    <w:r>
      <w:rPr>
        <w:rtl w:val="0"/>
        <w:lang w:val="it-IT"/>
      </w:rPr>
      <w:t>(ex I.C. DI VIA COMMERCIALE)</w:t>
    </w:r>
  </w:p>
  <w:p>
    <w:pPr>
      <w:pStyle w:val="Normal.0"/>
      <w:spacing w:after="0" w:line="265" w:lineRule="auto"/>
      <w:ind w:left="92" w:right="2" w:hanging="10"/>
      <w:jc w:val="center"/>
    </w:pPr>
    <w:r>
      <w:rPr>
        <w:sz w:val="20"/>
        <w:szCs w:val="20"/>
        <w:rtl w:val="0"/>
        <w:lang w:val="it-IT"/>
      </w:rPr>
      <w:t>Scuola dell</w:t>
    </w:r>
    <w:r>
      <w:rPr>
        <w:sz w:val="20"/>
        <w:szCs w:val="20"/>
        <w:rtl w:val="0"/>
        <w:lang w:val="it-IT"/>
      </w:rPr>
      <w:t>’</w:t>
    </w:r>
    <w:r>
      <w:rPr>
        <w:sz w:val="20"/>
        <w:szCs w:val="20"/>
        <w:rtl w:val="0"/>
        <w:lang w:val="it-IT"/>
      </w:rPr>
      <w:t>Infanzia R. Manna e F. Tomizza, Primaria R. Manna e V. Longo</w:t>
    </w:r>
  </w:p>
  <w:p>
    <w:pPr>
      <w:pStyle w:val="Normal.0"/>
      <w:spacing w:after="433" w:line="265" w:lineRule="auto"/>
      <w:ind w:left="92" w:hanging="10"/>
      <w:jc w:val="center"/>
    </w:pPr>
    <w:r>
      <w:rPr>
        <w:sz w:val="20"/>
        <w:szCs w:val="20"/>
        <w:rtl w:val="0"/>
        <w:lang w:val="it-IT"/>
      </w:rPr>
      <w:t>e Secondaria di primo grado G. Corsi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5" w:line="250" w:lineRule="auto"/>
      <w:ind w:left="88" w:right="0" w:hanging="10"/>
      <w:jc w:val="both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50" w:lineRule="auto"/>
      <w:ind w:left="78" w:right="0" w:hanging="10"/>
      <w:jc w:val="center"/>
      <w:outlineLvl w:val="0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88" w:right="0" w:hanging="10"/>
      <w:jc w:val="both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Liberation Serif" w:cs="Liberation Serif" w:hAnsi="Liberation Serif" w:eastAsia="Liberation Serif"/>
      <w:i w:val="1"/>
      <w:iCs w:val="1"/>
      <w:outline w:val="0"/>
      <w:color w:val="0000ff"/>
      <w:sz w:val="20"/>
      <w:szCs w:val="20"/>
      <w:u w:val="single" w:color="0000ff"/>
      <w:lang w:val="it-IT"/>
      <w14:textFill>
        <w14:solidFill>
          <w14:srgbClr w14:val="0000FF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Punti elenco">
    <w:name w:val="Punti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