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"/>
      </w:pPr>
      <w:r>
        <w:rPr>
          <w:rtl w:val="0"/>
          <w:lang w:val="it-IT"/>
        </w:rPr>
        <w:t xml:space="preserve">Progetti PTOF </w:t>
      </w:r>
      <w:r>
        <w:rPr>
          <w:rtl w:val="0"/>
          <w:lang w:val="it-IT"/>
        </w:rPr>
        <w:t>2022-23</w:t>
      </w:r>
    </w:p>
    <w:p>
      <w:pPr>
        <w:pStyle w:val="Oggetto"/>
      </w:pPr>
      <w:r>
        <w:rPr>
          <w:rtl w:val="0"/>
          <w:lang w:val="it-IT"/>
        </w:rPr>
        <w:t>Definizione delle priorit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progettuali in relazione al PTOF</w:t>
      </w:r>
    </w:p>
    <w:p>
      <w:pPr>
        <w:pStyle w:val="Corpo A"/>
        <w:numPr>
          <w:ilvl w:val="0"/>
          <w:numId w:val="2"/>
        </w:numPr>
        <w:bidi w:val="0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I progetti prioritari sono quelli che si inseriscono negli aspetti chiave del PTOF e del PDM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Istituto</w:t>
      </w:r>
    </w:p>
    <w:p>
      <w:pPr>
        <w:pStyle w:val="Corpo A"/>
        <w:numPr>
          <w:ilvl w:val="0"/>
          <w:numId w:val="2"/>
        </w:numPr>
        <w:bidi w:val="0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Prioritari sono quindi i progetti di recupero didattico sulle classi che presentano maggiori difficolt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nelle valutazioni scolastiche e nelle prove INVALSI e i progetti di valorizzazione delle eccellenze</w:t>
      </w:r>
    </w:p>
    <w:p>
      <w:pPr>
        <w:pStyle w:val="Corpo A"/>
        <w:numPr>
          <w:ilvl w:val="0"/>
          <w:numId w:val="2"/>
        </w:numPr>
        <w:bidi w:val="0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interno di quest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ottica si definiscono quindi delle specifiche priorit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:</w:t>
      </w:r>
    </w:p>
    <w:p>
      <w:pPr>
        <w:pStyle w:val="Corpo A"/>
        <w:numPr>
          <w:ilvl w:val="0"/>
          <w:numId w:val="4"/>
        </w:numPr>
        <w:bidi w:val="0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Progetti caratterizzanti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Istituto: sono progetti che per la loro rilevanza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interno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istituto e per la continuit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azione (sono spesso progetti pluriennali o che si sono consolidati negli anni), sono identificati come progetti parte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identit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stessa del nostro Istituto Comprensivo</w:t>
      </w:r>
      <w:r>
        <w:rPr>
          <w:rtl w:val="0"/>
          <w:lang w:val="it-IT"/>
        </w:rPr>
        <w:t xml:space="preserve">, con particolare riferimento ai progetti che si inseriscono in linea con il documento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Un Istituto al centro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Europa</w:t>
      </w:r>
      <w:r>
        <w:rPr>
          <w:rtl w:val="0"/>
          <w:lang w:val="it-IT"/>
        </w:rPr>
        <w:t>”</w:t>
      </w:r>
    </w:p>
    <w:p>
      <w:pPr>
        <w:pStyle w:val="Corpo A"/>
        <w:numPr>
          <w:ilvl w:val="0"/>
          <w:numId w:val="4"/>
        </w:numPr>
        <w:bidi w:val="0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 xml:space="preserve">Sono: </w:t>
      </w:r>
    </w:p>
    <w:p>
      <w:pPr>
        <w:pStyle w:val="Corpo A"/>
        <w:numPr>
          <w:ilvl w:val="0"/>
          <w:numId w:val="6"/>
        </w:numPr>
        <w:bidi w:val="0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Gemellaggi con scuole estere</w:t>
      </w:r>
    </w:p>
    <w:p>
      <w:pPr>
        <w:pStyle w:val="Corpo A"/>
        <w:numPr>
          <w:ilvl w:val="0"/>
          <w:numId w:val="6"/>
        </w:numPr>
        <w:bidi w:val="0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ADUM</w:t>
      </w:r>
    </w:p>
    <w:p>
      <w:pPr>
        <w:pStyle w:val="Corpo A"/>
        <w:numPr>
          <w:ilvl w:val="0"/>
          <w:numId w:val="6"/>
        </w:numPr>
        <w:bidi w:val="0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Certificazioni linguistiche</w:t>
      </w:r>
    </w:p>
    <w:p>
      <w:pPr>
        <w:pStyle w:val="Corpo A"/>
        <w:numPr>
          <w:ilvl w:val="0"/>
          <w:numId w:val="6"/>
        </w:numPr>
        <w:bidi w:val="0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GSS</w:t>
      </w:r>
    </w:p>
    <w:p>
      <w:pPr>
        <w:pStyle w:val="Corpo A"/>
        <w:numPr>
          <w:ilvl w:val="0"/>
          <w:numId w:val="6"/>
        </w:numPr>
        <w:bidi w:val="0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 xml:space="preserve">Sportello </w:t>
      </w:r>
      <w:r>
        <w:rPr>
          <w:rtl w:val="0"/>
          <w:lang w:val="it-IT"/>
        </w:rPr>
        <w:t xml:space="preserve">di </w:t>
      </w:r>
      <w:r>
        <w:rPr>
          <w:rtl w:val="0"/>
          <w:lang w:val="it-IT"/>
        </w:rPr>
        <w:t>recupero didattico per le classi che presentano maggiori difficolt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nelle valutazioni scolastiche e (nella serie storica) nelle prove INVALSI</w:t>
      </w:r>
    </w:p>
    <w:p>
      <w:pPr>
        <w:pStyle w:val="Corpo A"/>
        <w:numPr>
          <w:ilvl w:val="0"/>
          <w:numId w:val="7"/>
        </w:numPr>
        <w:bidi w:val="0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Progetti per la didattica individualizzata e personalizzata  con particolare attenzione agli alunni con difficolt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didattiche o disagio </w:t>
      </w:r>
    </w:p>
    <w:p>
      <w:pPr>
        <w:pStyle w:val="Corpo A"/>
        <w:numPr>
          <w:ilvl w:val="0"/>
          <w:numId w:val="4"/>
        </w:numPr>
        <w:bidi w:val="0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Progetti per la didattica personalizzata  in un ottica di valorizzazione degli apprendimenti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eccellenza</w:t>
      </w:r>
      <w:r>
        <w:rPr>
          <w:rtl w:val="0"/>
          <w:lang w:val="it-IT"/>
        </w:rPr>
        <w:t xml:space="preserve"> (ulteriori rispetto al punto 2)</w:t>
      </w:r>
    </w:p>
    <w:p>
      <w:pPr>
        <w:pStyle w:val="Corpo A"/>
        <w:numPr>
          <w:ilvl w:val="0"/>
          <w:numId w:val="4"/>
        </w:numPr>
        <w:bidi w:val="0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Progetti che si sviluppano da una proposta degli studenti  e che supportano la cittadinanza attiva</w:t>
      </w:r>
    </w:p>
    <w:p>
      <w:pPr>
        <w:pStyle w:val="Corpo A"/>
        <w:numPr>
          <w:ilvl w:val="0"/>
          <w:numId w:val="4"/>
        </w:numPr>
        <w:bidi w:val="0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Progetti che riguardano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plessi e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classi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Istituto anche a valenza interdisciplinare</w:t>
      </w:r>
    </w:p>
    <w:p>
      <w:pPr>
        <w:pStyle w:val="Corpo A"/>
        <w:numPr>
          <w:ilvl w:val="0"/>
          <w:numId w:val="4"/>
        </w:numPr>
        <w:bidi w:val="0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 xml:space="preserve">Progetti che riguardano un solo ordine di scuola, un solo plesso o una sola classe. </w:t>
      </w:r>
    </w:p>
    <w:p>
      <w:pPr>
        <w:pStyle w:val="Corpo A"/>
      </w:pPr>
      <w:r>
        <w:rPr>
          <w:rtl w:val="0"/>
          <w:lang w:val="it-IT"/>
        </w:rPr>
        <w:t>La definizione delle priorit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progettuali servono ad allocare le risorse eventualmente disponibili nel processo di budgeting del Programma Annuale.</w:t>
      </w:r>
    </w:p>
    <w:p>
      <w:pPr>
        <w:pStyle w:val="Corpo A"/>
      </w:pPr>
      <w:r>
        <w:rPr>
          <w:rtl w:val="0"/>
          <w:lang w:val="it-IT"/>
        </w:rPr>
        <w:t>I progetti che si posizionano sui livelli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alti avranno di conseguenza accesso prioritario alle risorse finanziarie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Istituto; progetti che si posizionano su livelli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bassi potranno essere comunque realizzati se hanno dei finanziamenti su fondi vincolati, ovvero se non prevedono costi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Istituto.</w:t>
      </w:r>
    </w:p>
    <w:p>
      <w:pPr>
        <w:pStyle w:val="Corpo A"/>
      </w:pPr>
      <w:r>
        <w:rPr>
          <w:rtl w:val="0"/>
          <w:lang w:val="it-IT"/>
        </w:rPr>
        <w:t>Situazione particolare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a.s. 2022-23: la necessit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attivare le lezioni di educazione motoria per le classi quinte della scuola Manna richiede delle misure di supporto per le famiglie che altrimenti si trovano a non riuscire a gestire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orario scolastico con effetto indiretto di compressione del diritto allo studio dei minori. Pertanto si decide di attivare un progetto specifico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accompagno degli studenti al ricreatorio ovvero di aggiunta di 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didattiche/educative per le classi quinte con un budget dedicato. </w:t>
      </w:r>
    </w:p>
    <w:p>
      <w:pPr>
        <w:pStyle w:val="Corpo A"/>
      </w:pPr>
    </w:p>
    <w:p>
      <w:pPr>
        <w:pStyle w:val="Corpo A"/>
      </w:pPr>
    </w:p>
    <w:tbl>
      <w:tblPr>
        <w:tblW w:w="8568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49"/>
        <w:gridCol w:w="1086"/>
        <w:gridCol w:w="2740"/>
        <w:gridCol w:w="1584"/>
        <w:gridCol w:w="1154"/>
        <w:gridCol w:w="1155"/>
      </w:tblGrid>
      <w:tr>
        <w:tblPrEx>
          <w:shd w:val="clear" w:color="auto" w:fill="00a2ff"/>
        </w:tblPrEx>
        <w:trPr>
          <w:trHeight w:val="3250" w:hRule="atLeast"/>
          <w:tblHeader/>
        </w:trPr>
        <w:tc>
          <w:tcPr>
            <w:tcW w:type="dxa" w:w="8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suppressAutoHyphens w:val="1"/>
              <w:outlineLvl w:val="0"/>
            </w:pPr>
            <w:r>
              <w:rPr>
                <w:rFonts w:ascii="Helvetica Neue" w:hAnsi="Helvetica Neue"/>
                <w:b w:val="1"/>
                <w:bCs w:val="1"/>
                <w:outline w:val="0"/>
                <w:color w:val="ffffff"/>
                <w:sz w:val="36"/>
                <w:szCs w:val="36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Priorit</w:t>
            </w:r>
            <w:r>
              <w:rPr>
                <w:rFonts w:ascii="Helvetica Neue" w:hAnsi="Helvetica Neue" w:hint="default"/>
                <w:b w:val="1"/>
                <w:bCs w:val="1"/>
                <w:outline w:val="0"/>
                <w:color w:val="ffffff"/>
                <w:sz w:val="36"/>
                <w:szCs w:val="36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à</w:t>
            </w:r>
          </w:p>
        </w:tc>
        <w:tc>
          <w:tcPr>
            <w:tcW w:type="dxa" w:w="10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suppressAutoHyphens w:val="1"/>
              <w:outlineLvl w:val="0"/>
            </w:pPr>
            <w:r>
              <w:rPr>
                <w:rFonts w:ascii="Helvetica Neue" w:hAnsi="Helvetica Neue"/>
                <w:b w:val="1"/>
                <w:bCs w:val="1"/>
                <w:outline w:val="0"/>
                <w:color w:val="ffffff"/>
                <w:sz w:val="36"/>
                <w:szCs w:val="36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Alunni</w:t>
            </w:r>
          </w:p>
        </w:tc>
        <w:tc>
          <w:tcPr>
            <w:tcW w:type="dxa" w:w="273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suppressAutoHyphens w:val="1"/>
              <w:outlineLvl w:val="0"/>
            </w:pPr>
            <w:r>
              <w:rPr>
                <w:rFonts w:ascii="Helvetica Neue" w:hAnsi="Helvetica Neue"/>
                <w:b w:val="1"/>
                <w:bCs w:val="1"/>
                <w:outline w:val="0"/>
                <w:color w:val="ffffff"/>
                <w:sz w:val="36"/>
                <w:szCs w:val="36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Progetto</w:t>
            </w:r>
          </w:p>
        </w:tc>
        <w:tc>
          <w:tcPr>
            <w:tcW w:type="dxa" w:w="158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suppressAutoHyphens w:val="1"/>
              <w:outlineLvl w:val="0"/>
            </w:pPr>
            <w:r>
              <w:rPr>
                <w:rFonts w:ascii="Helvetica Neue" w:hAnsi="Helvetica Neue"/>
                <w:b w:val="1"/>
                <w:bCs w:val="1"/>
                <w:outline w:val="0"/>
                <w:color w:val="ffffff"/>
                <w:sz w:val="36"/>
                <w:szCs w:val="36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Richesta ore (docenza/coordinamento)</w:t>
            </w:r>
          </w:p>
        </w:tc>
        <w:tc>
          <w:tcPr>
            <w:tcW w:type="dxa" w:w="115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suppressAutoHyphens w:val="1"/>
              <w:outlineLvl w:val="0"/>
            </w:pPr>
            <w:r>
              <w:rPr>
                <w:rFonts w:ascii="Helvetica Neue" w:hAnsi="Helvetica Neue"/>
                <w:b w:val="1"/>
                <w:bCs w:val="1"/>
                <w:outline w:val="0"/>
                <w:color w:val="ffffff"/>
                <w:sz w:val="36"/>
                <w:szCs w:val="36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Cofinanziamento</w:t>
            </w:r>
          </w:p>
        </w:tc>
        <w:tc>
          <w:tcPr>
            <w:tcW w:type="dxa" w:w="115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36"/>
                <w:szCs w:val="36"/>
                <w:u w:val="none" w:color="ffffff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Possibilit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36"/>
                <w:szCs w:val="36"/>
                <w:u w:val="none" w:color="ffffff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36"/>
                <w:szCs w:val="36"/>
                <w:u w:val="none" w:color="ffffff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di DDI (s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36"/>
                <w:szCs w:val="36"/>
                <w:u w:val="none" w:color="ffffff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ì 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36"/>
                <w:szCs w:val="36"/>
                <w:u w:val="none" w:color="ffffff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o no)</w:t>
            </w:r>
          </w:p>
        </w:tc>
      </w:tr>
      <w:tr>
        <w:tblPrEx>
          <w:shd w:val="clear" w:color="auto" w:fill="cadfff"/>
        </w:tblPrEx>
        <w:trPr>
          <w:trHeight w:val="1970" w:hRule="atLeast"/>
        </w:trPr>
        <w:tc>
          <w:tcPr>
            <w:tcW w:type="dxa" w:w="849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suppressAutoHyphens w:val="1"/>
              <w:outlineLvl w:val="0"/>
            </w:pPr>
            <w:r>
              <w:rPr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085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39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4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4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4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830" w:hRule="atLeast"/>
        </w:trPr>
        <w:tc>
          <w:tcPr>
            <w:tcW w:type="dxa" w:w="8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suppressAutoHyphens w:val="1"/>
              <w:outlineLvl w:val="0"/>
            </w:pPr>
            <w:r>
              <w:rPr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0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3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50" w:hRule="atLeast"/>
        </w:trPr>
        <w:tc>
          <w:tcPr>
            <w:tcW w:type="dxa" w:w="8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suppressAutoHyphens w:val="1"/>
              <w:outlineLvl w:val="0"/>
            </w:pPr>
            <w:r>
              <w:rPr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0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3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10" w:hRule="atLeast"/>
        </w:trPr>
        <w:tc>
          <w:tcPr>
            <w:tcW w:type="dxa" w:w="8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suppressAutoHyphens w:val="1"/>
              <w:outlineLvl w:val="0"/>
            </w:pPr>
            <w:r>
              <w:rPr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0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3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830" w:hRule="atLeast"/>
        </w:trPr>
        <w:tc>
          <w:tcPr>
            <w:tcW w:type="dxa" w:w="8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suppressAutoHyphens w:val="1"/>
              <w:outlineLvl w:val="0"/>
            </w:pPr>
            <w:r>
              <w:rPr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0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3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10" w:hRule="atLeast"/>
        </w:trPr>
        <w:tc>
          <w:tcPr>
            <w:tcW w:type="dxa" w:w="849"/>
            <w:tcBorders>
              <w:top w:val="single" w:color="ffffff" w:sz="8" w:space="0" w:shadow="0" w:frame="0"/>
              <w:left w:val="single" w:color="ffffff" w:sz="8" w:space="0" w:shadow="0" w:frame="0"/>
              <w:bottom w:val="nil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suppressAutoHyphens w:val="1"/>
              <w:outlineLvl w:val="0"/>
            </w:pPr>
            <w:r>
              <w:rPr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10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3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A"/>
        <w:widowControl w:val="0"/>
        <w:spacing w:line="240" w:lineRule="auto"/>
        <w:ind w:left="432" w:hanging="432"/>
      </w:pPr>
    </w:p>
    <w:p>
      <w:pPr>
        <w:pStyle w:val="Corpo A"/>
        <w:widowControl w:val="0"/>
        <w:spacing w:line="240" w:lineRule="auto"/>
        <w:ind w:left="324" w:hanging="324"/>
      </w:pPr>
    </w:p>
    <w:p>
      <w:pPr>
        <w:pStyle w:val="Corpo A"/>
        <w:widowControl w:val="0"/>
        <w:spacing w:line="240" w:lineRule="auto"/>
        <w:ind w:left="216" w:hanging="216"/>
      </w:pPr>
    </w:p>
    <w:p>
      <w:pPr>
        <w:pStyle w:val="Corpo A"/>
        <w:widowControl w:val="0"/>
        <w:spacing w:line="240" w:lineRule="auto"/>
        <w:ind w:left="108" w:hanging="108"/>
      </w:pPr>
    </w:p>
    <w:p>
      <w:pPr>
        <w:pStyle w:val="Corpo A"/>
      </w:pPr>
      <w:r>
        <w:rPr>
          <w:rtl w:val="0"/>
          <w:lang w:val="it-IT"/>
        </w:rPr>
        <w:t>Considerazioni preliminari alle operazioni di budgeting: i progetti proposti sono numerosissimi e molti di essi richiedono ingenti risorse da parte della scuola.</w:t>
      </w:r>
    </w:p>
    <w:p>
      <w:pPr>
        <w:pStyle w:val="Corpo A"/>
      </w:pPr>
      <w:r>
        <w:rPr>
          <w:rtl w:val="0"/>
          <w:lang w:val="it-IT"/>
        </w:rPr>
        <w:t>Purtroppo sar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necessario fare delle scelte, sia in fase di contrattazione che in fase di budgeting delle risorse. Una primo orientamento viene dalla divisione dei progetti in aree dalla 1 alla 6.</w:t>
      </w:r>
    </w:p>
    <w:p>
      <w:pPr>
        <w:pStyle w:val="Corpo A"/>
      </w:pPr>
      <w:r>
        <w:rPr>
          <w:rtl w:val="0"/>
          <w:lang w:val="it-IT"/>
        </w:rPr>
        <w:t>Considerato per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 xml:space="preserve">che  non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pensabile che tutte le risorse si esauriscano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area 1, una volta votati in Collegio</w:t>
      </w:r>
      <w:r>
        <w:rPr>
          <w:rtl w:val="0"/>
          <w:lang w:val="it-IT"/>
        </w:rPr>
        <w:t xml:space="preserve"> si definisce</w:t>
      </w:r>
      <w:r>
        <w:rPr>
          <w:rtl w:val="0"/>
          <w:lang w:val="it-IT"/>
        </w:rPr>
        <w:t xml:space="preserve"> un criterio di budgeting indicativo che rispetti le aree ma assegni comunque una quantit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pur minima di risorse ad ogni area, secondo lo schema seguente:</w:t>
      </w:r>
    </w:p>
    <w:tbl>
      <w:tblPr>
        <w:tblW w:w="9000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500"/>
        <w:gridCol w:w="4500"/>
      </w:tblGrid>
      <w:tr>
        <w:tblPrEx>
          <w:shd w:val="clear" w:color="auto" w:fill="00a2ff"/>
        </w:tblPrEx>
        <w:trPr>
          <w:trHeight w:val="1010" w:hRule="atLeast"/>
          <w:tblHeader/>
        </w:trPr>
        <w:tc>
          <w:tcPr>
            <w:tcW w:type="dxa" w:w="45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suppressAutoHyphens w:val="1"/>
              <w:outlineLvl w:val="0"/>
            </w:pPr>
            <w:r>
              <w:rPr>
                <w:rFonts w:ascii="Helvetica Neue" w:hAnsi="Helvetica Neue"/>
                <w:b w:val="1"/>
                <w:bCs w:val="1"/>
                <w:outline w:val="0"/>
                <w:color w:val="ffffff"/>
                <w:sz w:val="36"/>
                <w:szCs w:val="36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Area di priorit</w:t>
            </w:r>
            <w:r>
              <w:rPr>
                <w:rFonts w:ascii="Helvetica Neue" w:hAnsi="Helvetica Neue" w:hint="default"/>
                <w:b w:val="1"/>
                <w:bCs w:val="1"/>
                <w:outline w:val="0"/>
                <w:color w:val="ffffff"/>
                <w:sz w:val="36"/>
                <w:szCs w:val="36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à</w:t>
            </w:r>
          </w:p>
        </w:tc>
        <w:tc>
          <w:tcPr>
            <w:tcW w:type="dxa" w:w="45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suppressAutoHyphens w:val="1"/>
              <w:outlineLvl w:val="0"/>
            </w:pPr>
            <w:r>
              <w:rPr>
                <w:rFonts w:ascii="Helvetica Neue" w:hAnsi="Helvetica Neue"/>
                <w:b w:val="1"/>
                <w:bCs w:val="1"/>
                <w:outline w:val="0"/>
                <w:color w:val="ffffff"/>
                <w:sz w:val="36"/>
                <w:szCs w:val="36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Percentuale di risorse assegnate</w:t>
            </w:r>
          </w:p>
        </w:tc>
      </w:tr>
      <w:tr>
        <w:tblPrEx>
          <w:shd w:val="clear" w:color="auto" w:fill="cadfff"/>
        </w:tblPrEx>
        <w:trPr>
          <w:trHeight w:val="650" w:hRule="atLeast"/>
        </w:trPr>
        <w:tc>
          <w:tcPr>
            <w:tcW w:type="dxa" w:w="4500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suppressAutoHyphens w:val="1"/>
              <w:outlineLvl w:val="0"/>
            </w:pPr>
            <w:r>
              <w:rPr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4500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suppressAutoHyphens w:val="1"/>
              <w:outlineLvl w:val="0"/>
            </w:pPr>
            <w:r>
              <w:rPr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40%</w:t>
            </w:r>
          </w:p>
        </w:tc>
      </w:tr>
      <w:tr>
        <w:tblPrEx>
          <w:shd w:val="clear" w:color="auto" w:fill="cadfff"/>
        </w:tblPrEx>
        <w:trPr>
          <w:trHeight w:val="510" w:hRule="atLeast"/>
        </w:trPr>
        <w:tc>
          <w:tcPr>
            <w:tcW w:type="dxa" w:w="45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suppressAutoHyphens w:val="1"/>
              <w:outlineLvl w:val="0"/>
            </w:pPr>
            <w:r>
              <w:rPr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45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suppressAutoHyphens w:val="1"/>
              <w:outlineLvl w:val="0"/>
            </w:pPr>
            <w:r>
              <w:rPr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25%</w:t>
            </w:r>
          </w:p>
        </w:tc>
      </w:tr>
      <w:tr>
        <w:tblPrEx>
          <w:shd w:val="clear" w:color="auto" w:fill="cadfff"/>
        </w:tblPrEx>
        <w:trPr>
          <w:trHeight w:val="510" w:hRule="atLeast"/>
        </w:trPr>
        <w:tc>
          <w:tcPr>
            <w:tcW w:type="dxa" w:w="45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suppressAutoHyphens w:val="1"/>
              <w:outlineLvl w:val="0"/>
            </w:pPr>
            <w:r>
              <w:rPr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45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suppressAutoHyphens w:val="1"/>
              <w:outlineLvl w:val="0"/>
            </w:pPr>
            <w:r>
              <w:rPr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15%</w:t>
            </w:r>
          </w:p>
        </w:tc>
      </w:tr>
      <w:tr>
        <w:tblPrEx>
          <w:shd w:val="clear" w:color="auto" w:fill="cadfff"/>
        </w:tblPrEx>
        <w:trPr>
          <w:trHeight w:val="510" w:hRule="atLeast"/>
        </w:trPr>
        <w:tc>
          <w:tcPr>
            <w:tcW w:type="dxa" w:w="45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suppressAutoHyphens w:val="1"/>
              <w:outlineLvl w:val="0"/>
            </w:pPr>
            <w:r>
              <w:rPr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45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suppressAutoHyphens w:val="1"/>
              <w:outlineLvl w:val="0"/>
            </w:pPr>
            <w:r>
              <w:rPr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10%</w:t>
            </w:r>
          </w:p>
        </w:tc>
      </w:tr>
      <w:tr>
        <w:tblPrEx>
          <w:shd w:val="clear" w:color="auto" w:fill="cadfff"/>
        </w:tblPrEx>
        <w:trPr>
          <w:trHeight w:val="510" w:hRule="atLeast"/>
        </w:trPr>
        <w:tc>
          <w:tcPr>
            <w:tcW w:type="dxa" w:w="45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suppressAutoHyphens w:val="1"/>
              <w:outlineLvl w:val="0"/>
            </w:pPr>
            <w:r>
              <w:rPr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45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suppressAutoHyphens w:val="1"/>
              <w:outlineLvl w:val="0"/>
            </w:pPr>
            <w:r>
              <w:rPr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5%</w:t>
            </w:r>
          </w:p>
        </w:tc>
      </w:tr>
      <w:tr>
        <w:tblPrEx>
          <w:shd w:val="clear" w:color="auto" w:fill="cadfff"/>
        </w:tblPrEx>
        <w:trPr>
          <w:trHeight w:val="510" w:hRule="atLeast"/>
        </w:trPr>
        <w:tc>
          <w:tcPr>
            <w:tcW w:type="dxa" w:w="45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suppressAutoHyphens w:val="1"/>
              <w:outlineLvl w:val="0"/>
            </w:pPr>
            <w:r>
              <w:rPr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45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suppressAutoHyphens w:val="1"/>
              <w:outlineLvl w:val="0"/>
            </w:pPr>
            <w:r>
              <w:rPr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5%</w:t>
            </w:r>
          </w:p>
        </w:tc>
      </w:tr>
    </w:tbl>
    <w:p>
      <w:pPr>
        <w:pStyle w:val="Corpo A"/>
        <w:widowControl w:val="0"/>
        <w:spacing w:line="240" w:lineRule="auto"/>
        <w:ind w:left="432" w:hanging="432"/>
      </w:pPr>
    </w:p>
    <w:p>
      <w:pPr>
        <w:pStyle w:val="Corpo A"/>
        <w:widowControl w:val="0"/>
        <w:spacing w:line="240" w:lineRule="auto"/>
        <w:ind w:left="432" w:hanging="432"/>
      </w:pPr>
    </w:p>
    <w:p>
      <w:pPr>
        <w:pStyle w:val="Corpo A"/>
        <w:widowControl w:val="0"/>
        <w:spacing w:line="240" w:lineRule="auto"/>
        <w:ind w:left="432" w:hanging="432"/>
      </w:pPr>
      <w:r>
        <w:rPr>
          <w:rtl w:val="0"/>
          <w:lang w:val="it-IT"/>
        </w:rPr>
        <w:t>Nel caso in cui un progetto goda di finanziamenti autonomi grazie a fondi vincolati, esso non usufruir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dei finanziamenti previsti dal budget della scuola se non per ragioni di assoluta necessit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.</w:t>
      </w:r>
    </w:p>
    <w:sectPr>
      <w:headerReference w:type="default" r:id="rId4"/>
      <w:footerReference w:type="default" r:id="rId5"/>
      <w:pgSz w:w="11900" w:h="16840" w:orient="portrait"/>
      <w:pgMar w:top="1598" w:right="1440" w:bottom="1440" w:left="1440" w:header="1195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tabs>
        <w:tab w:val="center" w:pos="4513"/>
        <w:tab w:val="right" w:pos="9000"/>
        <w:tab w:val="clear" w:pos="9020"/>
      </w:tabs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tabs>
        <w:tab w:val="center" w:pos="4513"/>
        <w:tab w:val="right" w:pos="9000"/>
        <w:tab w:val="clear" w:pos="9020"/>
      </w:tabs>
    </w:pPr>
    <w:r>
      <w:tab/>
      <w:tab/>
    </w:r>
    <w:r>
      <w:rPr>
        <w:lang w:val="it-IT"/>
      </w:rPr>
      <w:fldChar w:fldCharType="begin" w:fldLock="0"/>
    </w:r>
    <w:r>
      <w:rPr>
        <w:lang w:val="it-IT"/>
      </w:rPr>
      <w:instrText xml:space="preserve"> DATE \@ "dddd d MMMM y" </w:instrText>
    </w:r>
    <w:r>
      <w:rPr>
        <w:lang w:val="it-IT"/>
      </w:rPr>
      <w:fldChar w:fldCharType="separate" w:fldLock="0"/>
    </w:r>
    <w:r>
      <w:rPr>
        <w:rtl w:val="0"/>
        <w:lang w:val="it-IT"/>
      </w:rPr>
      <w:t>giovedì 20 ottobre 2022</w:t>
    </w:r>
    <w:r>
      <w:rPr>
        <w:lang w:val="it-IT"/>
      </w:rPr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Appunti"/>
  </w:abstractNum>
  <w:abstractNum w:abstractNumId="1">
    <w:multiLevelType w:val="hybridMultilevel"/>
    <w:styleLink w:val="Appunti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8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6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4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2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2">
    <w:multiLevelType w:val="hybridMultilevel"/>
    <w:numStyleLink w:val="Numerato"/>
  </w:abstractNum>
  <w:abstractNum w:abstractNumId="3">
    <w:multiLevelType w:val="hybridMultilevel"/>
    <w:styleLink w:val="Numerato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P. elenco grande"/>
  </w:abstractNum>
  <w:abstractNum w:abstractNumId="5">
    <w:multiLevelType w:val="hybridMultilevel"/>
    <w:styleLink w:val="P. elenco grande"/>
    <w:lvl w:ilvl="0">
      <w:start w:val="1"/>
      <w:numFmt w:val="bullet"/>
      <w:suff w:val="tab"/>
      <w:lvlText w:val="•"/>
      <w:lvlJc w:val="left"/>
      <w:pPr>
        <w:ind w:left="262" w:hanging="26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02" w:hanging="26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42" w:hanging="26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82" w:hanging="26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22" w:hanging="26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62" w:hanging="26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702" w:hanging="26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42" w:hanging="26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82" w:hanging="26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pagina">
    <w:name w:val="Intestazione e piè pagina"/>
    <w:next w:val="Intestazione e piè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itolo">
    <w:name w:val="Titolo"/>
    <w:next w:val="Titol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00" w:after="20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44444"/>
      <w:spacing w:val="0"/>
      <w:kern w:val="0"/>
      <w:position w:val="0"/>
      <w:sz w:val="36"/>
      <w:szCs w:val="36"/>
      <w:u w:val="none" w:color="444444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444444"/>
        </w14:solidFill>
      </w14:textFill>
    </w:rPr>
  </w:style>
  <w:style w:type="paragraph" w:styleId="Oggetto">
    <w:name w:val="Oggetto"/>
    <w:next w:val="Corpo A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Appunti">
    <w:name w:val="Appunti"/>
    <w:pPr>
      <w:numPr>
        <w:numId w:val="1"/>
      </w:numPr>
    </w:pPr>
  </w:style>
  <w:style w:type="numbering" w:styleId="Numerato">
    <w:name w:val="Numerato"/>
    <w:pPr>
      <w:numPr>
        <w:numId w:val="3"/>
      </w:numPr>
    </w:pPr>
  </w:style>
  <w:style w:type="numbering" w:styleId="P. elenco grande">
    <w:name w:val="P. elenco grande"/>
    <w:pPr>
      <w:numPr>
        <w:numId w:val="5"/>
      </w:numPr>
    </w:p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0_Note-taking">
  <a:themeElements>
    <a:clrScheme name="00_Note-taking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00_Note-taking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