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</w:p>
    <w:p>
      <w:pPr>
        <w:pStyle w:val="Title"/>
      </w:pPr>
      <w:r>
        <w:rPr>
          <w:rtl w:val="0"/>
          <w:lang w:val="it-IT"/>
        </w:rPr>
        <w:t>GIUDIZIO DI AMMISSIONE/DI NON AMMISSIONE alla classe successiva 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esame a.s. 202</w:t>
      </w:r>
      <w:r>
        <w:rPr>
          <w:rtl w:val="0"/>
          <w:lang w:val="it-IT"/>
        </w:rPr>
        <w:t>__</w:t>
      </w:r>
      <w:r>
        <w:rPr>
          <w:rtl w:val="0"/>
          <w:lang w:val="it-IT"/>
        </w:rPr>
        <w:t xml:space="preserve"> (globale)</w:t>
      </w:r>
    </w:p>
    <w:p>
      <w:pPr>
        <w:pStyle w:val="Title"/>
        <w:jc w:val="left"/>
        <w:rPr>
          <w:sz w:val="24"/>
          <w:szCs w:val="24"/>
        </w:rPr>
      </w:pPr>
    </w:p>
    <w:p>
      <w:pPr>
        <w:pStyle w:val="Title"/>
        <w:jc w:val="left"/>
      </w:pPr>
      <w:r>
        <w:rPr>
          <w:sz w:val="24"/>
          <w:szCs w:val="24"/>
          <w:rtl w:val="0"/>
          <w:lang w:val="it-IT"/>
        </w:rPr>
        <w:t>ALUNNO</w:t>
      </w:r>
      <w:r>
        <w:rPr>
          <w:sz w:val="24"/>
          <w:szCs w:val="24"/>
          <w:rtl w:val="0"/>
          <w:lang w:val="it-IT"/>
        </w:rPr>
        <w:t>………………………………………………………</w:t>
      </w:r>
      <w:r>
        <w:rPr>
          <w:sz w:val="24"/>
          <w:szCs w:val="24"/>
          <w:rtl w:val="0"/>
          <w:lang w:val="it-IT"/>
        </w:rPr>
        <w:t xml:space="preserve">CLASSE </w:t>
      </w:r>
      <w:r>
        <w:rPr>
          <w:sz w:val="24"/>
          <w:szCs w:val="24"/>
          <w:rtl w:val="0"/>
          <w:lang w:val="it-IT"/>
        </w:rPr>
        <w:t>…</w:t>
      </w:r>
      <w:r>
        <w:rPr>
          <w:sz w:val="24"/>
          <w:szCs w:val="24"/>
          <w:rtl w:val="0"/>
          <w:lang w:val="it-IT"/>
        </w:rPr>
        <w:t>..</w:t>
      </w:r>
    </w:p>
    <w:p>
      <w:pPr>
        <w:pStyle w:val="Title"/>
        <w:jc w:val="left"/>
        <w:rPr>
          <w:sz w:val="24"/>
          <w:szCs w:val="24"/>
        </w:rPr>
      </w:pPr>
    </w:p>
    <w:tbl>
      <w:tblPr>
        <w:tblW w:w="929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5"/>
        <w:gridCol w:w="8343"/>
      </w:tblGrid>
      <w:tr>
        <w:tblPrEx>
          <w:shd w:val="clear" w:color="auto" w:fill="ced7e7"/>
        </w:tblPrEx>
        <w:trPr>
          <w:trHeight w:val="1951" w:hRule="atLeast"/>
        </w:trPr>
        <w:tc>
          <w:tcPr>
            <w:tcW w:type="dxa" w:w="92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jc w:val="left"/>
              <w:rPr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Il percorso educativo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risultato </w:t>
            </w:r>
          </w:p>
          <w:p>
            <w:pPr>
              <w:pStyle w:val="Title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poco apprezzabile</w:t>
            </w:r>
          </w:p>
          <w:p>
            <w:pPr>
              <w:pStyle w:val="Title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disomogeneo</w:t>
            </w:r>
          </w:p>
          <w:p>
            <w:pPr>
              <w:pStyle w:val="Title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costante</w:t>
            </w:r>
          </w:p>
          <w:p>
            <w:pPr>
              <w:pStyle w:val="Tit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Il percorso didattico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risultato </w:t>
            </w:r>
          </w:p>
          <w:p>
            <w:pPr>
              <w:pStyle w:val="Title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poco apprezzabile</w:t>
            </w:r>
          </w:p>
          <w:p>
            <w:pPr>
              <w:pStyle w:val="Title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disomogeneo</w:t>
            </w:r>
          </w:p>
          <w:p>
            <w:pPr>
              <w:pStyle w:val="Title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costante   </w:t>
            </w:r>
          </w:p>
        </w:tc>
      </w:tr>
      <w:tr>
        <w:tblPrEx>
          <w:shd w:val="clear" w:color="auto" w:fill="ced7e7"/>
        </w:tblPrEx>
        <w:trPr>
          <w:trHeight w:val="4211" w:hRule="atLeast"/>
        </w:trPr>
        <w:tc>
          <w:tcPr>
            <w:tcW w:type="dxa" w:w="92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jc w:val="left"/>
              <w:rPr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La sua partecipazione alle varie attivit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risultata</w:t>
            </w:r>
          </w:p>
          <w:p>
            <w:pPr>
              <w:pStyle w:val="Title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inadeguata </w:t>
            </w:r>
          </w:p>
          <w:p>
            <w:pPr>
              <w:pStyle w:val="Title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superficiale </w:t>
            </w:r>
          </w:p>
          <w:p>
            <w:pPr>
              <w:pStyle w:val="Title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settoriale e poco pertinente </w:t>
            </w:r>
          </w:p>
          <w:p>
            <w:pPr>
              <w:pStyle w:val="Title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attiva ma poco costruttiva</w:t>
            </w:r>
          </w:p>
          <w:p>
            <w:pPr>
              <w:pStyle w:val="Title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attiva</w:t>
            </w:r>
          </w:p>
          <w:p>
            <w:pPr>
              <w:pStyle w:val="Title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attiva, costruttiva e propositiva</w:t>
            </w:r>
          </w:p>
          <w:p>
            <w:pPr>
              <w:pStyle w:val="Subtit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(se si ritiene utile si pu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aggiungere per alcuni alunni)</w:t>
            </w:r>
          </w:p>
          <w:p>
            <w:pPr>
              <w:pStyle w:val="Subtit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  <w:lang w:val="it-IT"/>
              </w:rPr>
              <w:t>La sua partecipazione alle varie attivit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a distanza 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  <w:lang w:val="it-IT"/>
              </w:rPr>
              <w:t>risultata</w:t>
            </w:r>
          </w:p>
          <w:p>
            <w:pPr>
              <w:pStyle w:val="Title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assidua o frequente</w:t>
            </w:r>
          </w:p>
          <w:p>
            <w:pPr>
              <w:pStyle w:val="Title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costante</w:t>
            </w:r>
          </w:p>
          <w:p>
            <w:pPr>
              <w:pStyle w:val="Title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incostante o saltuaria</w:t>
            </w:r>
          </w:p>
          <w:p>
            <w:pPr>
              <w:pStyle w:val="Title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passiva</w:t>
            </w:r>
          </w:p>
          <w:p>
            <w:pPr>
              <w:pStyle w:val="Title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scarsa</w:t>
            </w:r>
          </w:p>
          <w:p>
            <w:pPr>
              <w:pStyle w:val="Title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nulla</w:t>
            </w:r>
          </w:p>
        </w:tc>
      </w:tr>
      <w:tr>
        <w:tblPrEx>
          <w:shd w:val="clear" w:color="auto" w:fill="ced7e7"/>
        </w:tblPrEx>
        <w:trPr>
          <w:trHeight w:val="1471" w:hRule="atLeast"/>
        </w:trPr>
        <w:tc>
          <w:tcPr>
            <w:tcW w:type="dxa" w:w="92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jc w:val="left"/>
              <w:rPr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Rispetto agli impegni scolastici </w:t>
            </w:r>
          </w:p>
          <w:p>
            <w:pPr>
              <w:pStyle w:val="Normal.0"/>
              <w:numPr>
                <w:ilvl w:val="0"/>
                <w:numId w:val="5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si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sottratto molto spesso al lavoro</w:t>
            </w:r>
          </w:p>
          <w:p>
            <w:pPr>
              <w:pStyle w:val="Normal.0"/>
              <w:numPr>
                <w:ilvl w:val="0"/>
                <w:numId w:val="5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non ha rispettato le consegne</w:t>
            </w:r>
          </w:p>
          <w:p>
            <w:pPr>
              <w:pStyle w:val="Normal.0"/>
              <w:numPr>
                <w:ilvl w:val="0"/>
                <w:numId w:val="5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ha dimostrato un impegno alterno e/o settoriale</w:t>
            </w:r>
          </w:p>
          <w:p>
            <w:pPr>
              <w:pStyle w:val="Normal.0"/>
              <w:numPr>
                <w:ilvl w:val="0"/>
                <w:numId w:val="6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ha dimostrato senso di responsabilit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ed impegno continuo</w:t>
            </w:r>
          </w:p>
        </w:tc>
      </w:tr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92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7"/>
              </w:numPr>
              <w:rPr>
                <w:sz w:val="22"/>
                <w:szCs w:val="22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Non ha acquisito autonomia ed organizzazione nel lavoro</w:t>
            </w:r>
          </w:p>
          <w:p>
            <w:pPr>
              <w:pStyle w:val="Normal.0"/>
              <w:numPr>
                <w:ilvl w:val="0"/>
                <w:numId w:val="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E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autonomo nel lavoro ma non ancora organizzato</w:t>
            </w:r>
          </w:p>
          <w:p>
            <w:pPr>
              <w:pStyle w:val="Normal.0"/>
              <w:numPr>
                <w:ilvl w:val="0"/>
                <w:numId w:val="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E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autonomo ed organizzato nel lavoro</w:t>
            </w:r>
          </w:p>
        </w:tc>
      </w:tr>
      <w:tr>
        <w:tblPrEx>
          <w:shd w:val="clear" w:color="auto" w:fill="ced7e7"/>
        </w:tblPrEx>
        <w:trPr>
          <w:trHeight w:val="3601" w:hRule="atLeast"/>
        </w:trPr>
        <w:tc>
          <w:tcPr>
            <w:tcW w:type="dxa" w:w="92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alunno non ha raggiunto gli obiettivi minimi previsti ai sensi dell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O.M. n.11 del 16/05/2020</w:t>
            </w:r>
          </w:p>
          <w:p>
            <w:pPr>
              <w:pStyle w:val="Normal.0"/>
              <w:numPr>
                <w:ilvl w:val="0"/>
                <w:numId w:val="9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Evidenziando carenze nelle conoscenze essenziali e nelle competenze di base (NON SUFFICIENTE)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alunno ha raggiunto gli obiettivi previsti</w:t>
            </w:r>
          </w:p>
          <w:p>
            <w:pPr>
              <w:pStyle w:val="Normal.0"/>
              <w:numPr>
                <w:ilvl w:val="0"/>
                <w:numId w:val="9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in modo parziale, dimostrando di possedere conoscenze essenziali e semplici competenze di base (minore di sei / decimi)</w:t>
            </w:r>
          </w:p>
          <w:p>
            <w:pPr>
              <w:pStyle w:val="Normal.0"/>
              <w:numPr>
                <w:ilvl w:val="0"/>
                <w:numId w:val="9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dimostrando di possedere conoscenze essenziali e semplici competenze di base (sei / decimi)</w:t>
            </w:r>
          </w:p>
          <w:p>
            <w:pPr>
              <w:pStyle w:val="Normal.0"/>
              <w:numPr>
                <w:ilvl w:val="0"/>
                <w:numId w:val="9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una buona conoscenza dei contenuti, adeguate competenze di base e capacit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di riflessione personale, se guidata (sette / decimi)</w:t>
            </w:r>
          </w:p>
          <w:p>
            <w:pPr>
              <w:pStyle w:val="Normal.0"/>
              <w:numPr>
                <w:ilvl w:val="0"/>
                <w:numId w:val="9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evidenziando un buon livello di conoscenza dei contenuti e di utilizzo delle competenze. Dimostra buone capacit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espressive e di riflessione personale (otto / decimi)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in modo completo  (ed esauriente), evidenziando un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approfondita conoscenza dei contenuti con capacit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di collegamenti interdisciplinari, rielaborazione autonoma e (piena) padronanza dei linguaggi e degli strumenti (nove / decimi e dieci / decimi)</w:t>
            </w:r>
          </w:p>
        </w:tc>
      </w:tr>
      <w:tr>
        <w:tblPrEx>
          <w:shd w:val="clear" w:color="auto" w:fill="ced7e7"/>
        </w:tblPrEx>
        <w:trPr>
          <w:trHeight w:val="3631" w:hRule="atLeast"/>
        </w:trPr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CLASSI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I e II</w:t>
            </w:r>
          </w:p>
        </w:tc>
        <w:tc>
          <w:tcPr>
            <w:tcW w:type="dxa" w:w="8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1"/>
              </w:numPr>
              <w:rPr>
                <w:sz w:val="22"/>
                <w:szCs w:val="22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Nonostante le carenze sopraesposte, per non interrompere il processo di maturazione in atto. con un Piano di Apprendimento Individualizzato nell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ambito del Piano di integrazione degli apprendimenti, 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alunno viene ammesso alla classe successiva </w:t>
            </w:r>
          </w:p>
          <w:p>
            <w:pPr>
              <w:pStyle w:val="Normal.0"/>
              <w:numPr>
                <w:ilvl w:val="0"/>
                <w:numId w:val="1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In considerazione delle gravi carenze sopraesposte, del calo evidenziato nel percorso di apprendimento, dell'inadeguato (scarso, mancato) impegno nei diversi e ripetuti interventi di recupero e/o di sostegno individualizzati, attuati con strategie specifiche, in classe e/o in orario extrascolastico; tenuto conto che le carenze evidenziate creerebbero serie difficolt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 frequentare con profitto la classe successiva, considerando altres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che 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alunno/a avrebbe maggior tempo per consolidare gli apprendimenti al fine di recuperare le carenze,  il CdC non ammette 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alunno/a alla classe successiva.  Tale scelta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determinata dalla volont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di garantire il futuro successo formativo dell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alunno/a come da DPR 275/99 art.1 comma 2.</w:t>
            </w:r>
          </w:p>
        </w:tc>
      </w:tr>
      <w:tr>
        <w:tblPrEx>
          <w:shd w:val="clear" w:color="auto" w:fill="ced7e7"/>
        </w:tblPrEx>
        <w:trPr>
          <w:trHeight w:val="2401" w:hRule="atLeast"/>
        </w:trPr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CLASSI 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III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Solo se l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alunno non viene  ammesso all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esame</w:t>
            </w:r>
          </w:p>
        </w:tc>
        <w:tc>
          <w:tcPr>
            <w:tcW w:type="dxa" w:w="8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3"/>
              </w:numPr>
              <w:rPr>
                <w:sz w:val="22"/>
                <w:szCs w:val="22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In considerazione delle gravi carenze sopraesposte, del calo evidenziato nel percorso di apprendimento, dell'inadeguato (scarso, mancato) impegno nei diversi e ripetuti interventi di recupero e/o di sostegno individualizzati, attuati con strategie specifiche, in classe e/o in orario extrascolastico; tenuto conto che le carenze evidenziate creerebbero serie difficolt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 frequentare con profitto lil ciclo di studi successivo,  considerando altres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che 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alunno/a avrebbe maggior tempo per consolidare gli apprendimenti al fine di recuperare le carenze,  il CdC non ammette 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alunno/a all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esame. Tale scelta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determinata dalla volont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di garantire il futuro successo formativo dell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alunno/a  come da DPR 275/99 art.1comma 2.</w:t>
            </w:r>
          </w:p>
        </w:tc>
      </w:tr>
    </w:tbl>
    <w:p>
      <w:pPr>
        <w:pStyle w:val="Title"/>
        <w:widowControl w:val="0"/>
        <w:ind w:left="324" w:hanging="324"/>
        <w:jc w:val="left"/>
        <w:rPr>
          <w:sz w:val="24"/>
          <w:szCs w:val="24"/>
        </w:rPr>
      </w:pPr>
    </w:p>
    <w:p>
      <w:pPr>
        <w:pStyle w:val="Title"/>
        <w:widowControl w:val="0"/>
        <w:ind w:left="216" w:hanging="216"/>
        <w:jc w:val="left"/>
        <w:rPr>
          <w:sz w:val="24"/>
          <w:szCs w:val="24"/>
        </w:rPr>
      </w:pPr>
    </w:p>
    <w:p>
      <w:pPr>
        <w:pStyle w:val="Title"/>
        <w:widowControl w:val="0"/>
        <w:ind w:left="108" w:hanging="108"/>
        <w:jc w:val="left"/>
        <w:rPr>
          <w:sz w:val="24"/>
          <w:szCs w:val="24"/>
        </w:rPr>
      </w:pPr>
    </w:p>
    <w:p>
      <w:pPr>
        <w:pStyle w:val="Title"/>
        <w:widowControl w:val="0"/>
        <w:jc w:val="left"/>
        <w:rPr>
          <w:sz w:val="24"/>
          <w:szCs w:val="24"/>
        </w:rPr>
      </w:pPr>
    </w:p>
    <w:p>
      <w:pPr>
        <w:pStyle w:val="Title"/>
        <w:jc w:val="left"/>
        <w:rPr>
          <w:sz w:val="22"/>
          <w:szCs w:val="22"/>
        </w:rPr>
      </w:pPr>
    </w:p>
    <w:p>
      <w:pPr>
        <w:pStyle w:val="Subtitle"/>
        <w:rPr>
          <w:sz w:val="22"/>
          <w:szCs w:val="22"/>
        </w:rPr>
      </w:pPr>
    </w:p>
    <w:p>
      <w:pPr>
        <w:pStyle w:val="Corpo del testo"/>
        <w:rPr>
          <w:sz w:val="22"/>
          <w:szCs w:val="22"/>
        </w:rPr>
      </w:pPr>
    </w:p>
    <w:p>
      <w:pPr>
        <w:pStyle w:val="Corpo del testo"/>
      </w:pPr>
    </w:p>
    <w:p>
      <w:pPr>
        <w:pStyle w:val="Corpo del testo"/>
      </w:pPr>
    </w:p>
    <w:p>
      <w:pPr>
        <w:pStyle w:val="Corpo del testo"/>
      </w:pPr>
      <w:r>
        <w:rPr>
          <w:rtl w:val="0"/>
          <w:lang w:val="it-IT"/>
        </w:rPr>
        <w:t>.</w:t>
      </w:r>
      <w:r/>
    </w:p>
    <w:sectPr>
      <w:headerReference w:type="default" r:id="rId4"/>
      <w:footerReference w:type="default" r:id="rId5"/>
      <w:pgSz w:w="11900" w:h="16840" w:orient="portrait"/>
      <w:pgMar w:top="180" w:right="1134" w:bottom="180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❒"/>
      <w:lvlJc w:val="left"/>
      <w:pPr>
        <w:tabs>
          <w:tab w:val="num" w:pos="866"/>
        </w:tabs>
        <w:ind w:left="878" w:hanging="5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❒"/>
      <w:lvlJc w:val="left"/>
      <w:pPr>
        <w:tabs>
          <w:tab w:val="num" w:pos="866"/>
        </w:tabs>
        <w:ind w:left="878" w:hanging="5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❒"/>
      <w:lvlJc w:val="left"/>
      <w:pPr>
        <w:tabs>
          <w:tab w:val="num" w:pos="866"/>
        </w:tabs>
        <w:ind w:left="878" w:hanging="5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❒"/>
      <w:lvlJc w:val="left"/>
      <w:pPr>
        <w:tabs>
          <w:tab w:val="num" w:pos="866"/>
        </w:tabs>
        <w:ind w:left="878" w:hanging="5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❒"/>
      <w:lvlJc w:val="left"/>
      <w:pPr>
        <w:tabs>
          <w:tab w:val="num" w:pos="866"/>
        </w:tabs>
        <w:ind w:left="878" w:hanging="5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❒"/>
      <w:lvlJc w:val="left"/>
      <w:pPr>
        <w:tabs>
          <w:tab w:val="num" w:pos="866"/>
        </w:tabs>
        <w:ind w:left="878" w:hanging="5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❒"/>
      <w:lvlJc w:val="left"/>
      <w:pPr>
        <w:tabs>
          <w:tab w:val="num" w:pos="866"/>
        </w:tabs>
        <w:ind w:left="878" w:hanging="5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❒"/>
      <w:lvlJc w:val="left"/>
      <w:pPr>
        <w:tabs>
          <w:tab w:val="num" w:pos="866"/>
        </w:tabs>
        <w:ind w:left="878" w:hanging="5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❒"/>
      <w:lvlJc w:val="left"/>
      <w:pPr>
        <w:tabs>
          <w:tab w:val="num" w:pos="866"/>
        </w:tabs>
        <w:ind w:left="878" w:hanging="5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lowerLetter"/>
      <w:suff w:val="tab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lowerLetter"/>
      <w:suff w:val="tab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Subtit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Corpo del testo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240" w:after="12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