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3902" w14:textId="7FD50D49" w:rsidR="00231D6A" w:rsidRPr="00093B75" w:rsidRDefault="00231D6A" w:rsidP="00597A56">
      <w:pPr>
        <w:tabs>
          <w:tab w:val="left" w:pos="708"/>
          <w:tab w:val="center" w:pos="4819"/>
          <w:tab w:val="right" w:pos="9612"/>
        </w:tabs>
        <w:jc w:val="center"/>
        <w:rPr>
          <w:rFonts w:ascii="Times New Roman" w:hAnsi="Times New Roman" w:cs="Times New Roman"/>
          <w:b w:val="0"/>
          <w:bCs w:val="0"/>
          <w:sz w:val="22"/>
          <w:szCs w:val="22"/>
        </w:rPr>
      </w:pPr>
      <w:r w:rsidRPr="00093B75">
        <w:rPr>
          <w:rFonts w:ascii="Times New Roman" w:hAnsi="Times New Roman" w:cs="Times New Roman"/>
          <w:b w:val="0"/>
          <w:bCs w:val="0"/>
          <w:noProof/>
          <w:sz w:val="22"/>
          <w:szCs w:val="22"/>
        </w:rPr>
        <w:drawing>
          <wp:anchor distT="0" distB="0" distL="0" distR="0" simplePos="0" relativeHeight="251659264" behindDoc="0" locked="0" layoutInCell="1" allowOverlap="1" wp14:anchorId="66DB05D3" wp14:editId="69E1ED3C">
            <wp:simplePos x="0" y="0"/>
            <wp:positionH relativeFrom="column">
              <wp:posOffset>-95885</wp:posOffset>
            </wp:positionH>
            <wp:positionV relativeFrom="line">
              <wp:posOffset>9525</wp:posOffset>
            </wp:positionV>
            <wp:extent cx="808991" cy="1028700"/>
            <wp:effectExtent l="0" t="0" r="0" b="0"/>
            <wp:wrapNone/>
            <wp:docPr id="1073741825" name="officeArt object" descr="LOGO CPIA 1 Trieste"/>
            <wp:cNvGraphicFramePr/>
            <a:graphic xmlns:a="http://schemas.openxmlformats.org/drawingml/2006/main">
              <a:graphicData uri="http://schemas.openxmlformats.org/drawingml/2006/picture">
                <pic:pic xmlns:pic="http://schemas.openxmlformats.org/drawingml/2006/picture">
                  <pic:nvPicPr>
                    <pic:cNvPr id="1073741825" name="LOGO CPIA 1 Trieste" descr="LOGO CPIA 1 Trieste"/>
                    <pic:cNvPicPr>
                      <a:picLocks noChangeAspect="1"/>
                    </pic:cNvPicPr>
                  </pic:nvPicPr>
                  <pic:blipFill>
                    <a:blip r:embed="rId8"/>
                    <a:stretch>
                      <a:fillRect/>
                    </a:stretch>
                  </pic:blipFill>
                  <pic:spPr>
                    <a:xfrm>
                      <a:off x="0" y="0"/>
                      <a:ext cx="808991" cy="1028700"/>
                    </a:xfrm>
                    <a:prstGeom prst="rect">
                      <a:avLst/>
                    </a:prstGeom>
                    <a:ln w="12700" cap="flat">
                      <a:noFill/>
                      <a:miter lim="400000"/>
                    </a:ln>
                    <a:effectLst/>
                  </pic:spPr>
                </pic:pic>
              </a:graphicData>
            </a:graphic>
          </wp:anchor>
        </w:drawing>
      </w:r>
      <w:r w:rsidRPr="00093B75">
        <w:rPr>
          <w:rFonts w:ascii="Times New Roman" w:hAnsi="Times New Roman" w:cs="Times New Roman"/>
          <w:b w:val="0"/>
          <w:bCs w:val="0"/>
          <w:sz w:val="22"/>
          <w:szCs w:val="22"/>
        </w:rPr>
        <w:t>MINISTERO DELL’ISTRUZIONE</w:t>
      </w:r>
      <w:r w:rsidR="00D10C73" w:rsidRPr="00093B75">
        <w:rPr>
          <w:rFonts w:ascii="Times New Roman" w:hAnsi="Times New Roman" w:cs="Times New Roman"/>
          <w:b w:val="0"/>
          <w:bCs w:val="0"/>
          <w:sz w:val="22"/>
          <w:szCs w:val="22"/>
        </w:rPr>
        <w:t xml:space="preserve"> E DEL MERITO</w:t>
      </w:r>
    </w:p>
    <w:p w14:paraId="168AE71B" w14:textId="661C61D4" w:rsidR="00231D6A" w:rsidRPr="00093B75" w:rsidRDefault="00D10C73" w:rsidP="00597A56">
      <w:pPr>
        <w:tabs>
          <w:tab w:val="center" w:pos="4819"/>
          <w:tab w:val="right" w:pos="9612"/>
        </w:tabs>
        <w:jc w:val="center"/>
        <w:rPr>
          <w:rFonts w:ascii="Times New Roman" w:eastAsia="Tahoma" w:hAnsi="Times New Roman" w:cs="Times New Roman"/>
          <w:b w:val="0"/>
          <w:bCs w:val="0"/>
          <w:sz w:val="22"/>
          <w:szCs w:val="22"/>
        </w:rPr>
      </w:pPr>
      <w:r w:rsidRPr="00093B75">
        <w:rPr>
          <w:rFonts w:ascii="Times New Roman" w:hAnsi="Times New Roman" w:cs="Times New Roman"/>
          <w:b w:val="0"/>
          <w:bCs w:val="0"/>
          <w:noProof/>
          <w:sz w:val="22"/>
          <w:szCs w:val="22"/>
        </w:rPr>
        <w:drawing>
          <wp:anchor distT="0" distB="0" distL="0" distR="0" simplePos="0" relativeHeight="251660288" behindDoc="0" locked="0" layoutInCell="1" allowOverlap="1" wp14:anchorId="48768221" wp14:editId="3BC4DC9C">
            <wp:simplePos x="0" y="0"/>
            <wp:positionH relativeFrom="column">
              <wp:posOffset>5455920</wp:posOffset>
            </wp:positionH>
            <wp:positionV relativeFrom="line">
              <wp:posOffset>12065</wp:posOffset>
            </wp:positionV>
            <wp:extent cx="698500" cy="749300"/>
            <wp:effectExtent l="0" t="0" r="0" b="0"/>
            <wp:wrapNone/>
            <wp:docPr id="1073741826" name="officeArt object" descr="logo.bmp"/>
            <wp:cNvGraphicFramePr/>
            <a:graphic xmlns:a="http://schemas.openxmlformats.org/drawingml/2006/main">
              <a:graphicData uri="http://schemas.openxmlformats.org/drawingml/2006/picture">
                <pic:pic xmlns:pic="http://schemas.openxmlformats.org/drawingml/2006/picture">
                  <pic:nvPicPr>
                    <pic:cNvPr id="1073741826" name="logo.bmp" descr="logo.bmp"/>
                    <pic:cNvPicPr>
                      <a:picLocks noChangeAspect="1"/>
                    </pic:cNvPicPr>
                  </pic:nvPicPr>
                  <pic:blipFill>
                    <a:blip r:embed="rId9"/>
                    <a:stretch>
                      <a:fillRect/>
                    </a:stretch>
                  </pic:blipFill>
                  <pic:spPr>
                    <a:xfrm>
                      <a:off x="0" y="0"/>
                      <a:ext cx="698500" cy="749300"/>
                    </a:xfrm>
                    <a:prstGeom prst="rect">
                      <a:avLst/>
                    </a:prstGeom>
                    <a:ln w="12700" cap="flat">
                      <a:noFill/>
                      <a:miter lim="400000"/>
                    </a:ln>
                    <a:effectLst/>
                  </pic:spPr>
                </pic:pic>
              </a:graphicData>
            </a:graphic>
          </wp:anchor>
        </w:drawing>
      </w:r>
      <w:r w:rsidR="00231D6A" w:rsidRPr="00093B75">
        <w:rPr>
          <w:rFonts w:ascii="Times New Roman" w:hAnsi="Times New Roman" w:cs="Times New Roman"/>
          <w:sz w:val="22"/>
          <w:szCs w:val="22"/>
        </w:rPr>
        <w:t>Centro Provinciale per l’Istruzione degli Adulti</w:t>
      </w:r>
    </w:p>
    <w:p w14:paraId="69D0C76E" w14:textId="77777777" w:rsidR="00231D6A" w:rsidRPr="00093B75" w:rsidRDefault="00231D6A" w:rsidP="00597A56">
      <w:pPr>
        <w:tabs>
          <w:tab w:val="center" w:pos="4819"/>
          <w:tab w:val="right" w:pos="9612"/>
        </w:tabs>
        <w:jc w:val="center"/>
        <w:rPr>
          <w:rFonts w:ascii="Times New Roman" w:eastAsia="Arial" w:hAnsi="Times New Roman" w:cs="Times New Roman"/>
          <w:b w:val="0"/>
          <w:bCs w:val="0"/>
          <w:sz w:val="22"/>
          <w:szCs w:val="22"/>
        </w:rPr>
      </w:pPr>
      <w:r w:rsidRPr="00093B75">
        <w:rPr>
          <w:rFonts w:ascii="Times New Roman" w:hAnsi="Times New Roman" w:cs="Times New Roman"/>
          <w:b w:val="0"/>
          <w:bCs w:val="0"/>
          <w:sz w:val="22"/>
          <w:szCs w:val="22"/>
        </w:rPr>
        <w:t>Via C. Battisti 27– 34125 TRIESTE</w:t>
      </w:r>
    </w:p>
    <w:p w14:paraId="097FB1E3" w14:textId="77777777" w:rsidR="00231D6A" w:rsidRPr="00093B75" w:rsidRDefault="00231D6A" w:rsidP="00597A56">
      <w:pPr>
        <w:tabs>
          <w:tab w:val="center" w:pos="4819"/>
          <w:tab w:val="right" w:pos="9612"/>
        </w:tabs>
        <w:jc w:val="center"/>
        <w:rPr>
          <w:rFonts w:ascii="Times New Roman" w:eastAsia="Arial" w:hAnsi="Times New Roman" w:cs="Times New Roman"/>
          <w:sz w:val="22"/>
          <w:szCs w:val="22"/>
        </w:rPr>
      </w:pPr>
      <w:r w:rsidRPr="00093B75">
        <w:rPr>
          <w:rFonts w:ascii="Times New Roman" w:hAnsi="Times New Roman" w:cs="Times New Roman"/>
          <w:b w:val="0"/>
          <w:bCs w:val="0"/>
          <w:sz w:val="22"/>
          <w:szCs w:val="22"/>
        </w:rPr>
        <w:t>Ufficio al Pubblico P.zza Vittorio Veneto 4/a</w:t>
      </w:r>
    </w:p>
    <w:p w14:paraId="356A75E7" w14:textId="5D01A874" w:rsidR="00231D6A" w:rsidRPr="00093B75" w:rsidRDefault="00231D6A" w:rsidP="00597A56">
      <w:pPr>
        <w:tabs>
          <w:tab w:val="center" w:pos="4819"/>
          <w:tab w:val="right" w:pos="9612"/>
        </w:tabs>
        <w:jc w:val="center"/>
        <w:rPr>
          <w:rFonts w:ascii="Times New Roman" w:eastAsia="Arial" w:hAnsi="Times New Roman" w:cs="Times New Roman"/>
          <w:b w:val="0"/>
          <w:bCs w:val="0"/>
          <w:sz w:val="22"/>
          <w:szCs w:val="22"/>
        </w:rPr>
      </w:pPr>
      <w:r w:rsidRPr="00093B75">
        <w:rPr>
          <w:rFonts w:ascii="Times New Roman" w:hAnsi="Times New Roman" w:cs="Times New Roman"/>
          <w:b w:val="0"/>
          <w:bCs w:val="0"/>
          <w:sz w:val="22"/>
          <w:szCs w:val="22"/>
        </w:rPr>
        <w:t xml:space="preserve">tel. 040 3798973 – Cod. Fisc. 90143380328 – Cod. </w:t>
      </w:r>
      <w:proofErr w:type="spellStart"/>
      <w:r w:rsidRPr="00093B75">
        <w:rPr>
          <w:rFonts w:ascii="Times New Roman" w:hAnsi="Times New Roman" w:cs="Times New Roman"/>
          <w:b w:val="0"/>
          <w:bCs w:val="0"/>
          <w:sz w:val="22"/>
          <w:szCs w:val="22"/>
        </w:rPr>
        <w:t>mecc</w:t>
      </w:r>
      <w:proofErr w:type="spellEnd"/>
      <w:r w:rsidRPr="00093B75">
        <w:rPr>
          <w:rFonts w:ascii="Times New Roman" w:hAnsi="Times New Roman" w:cs="Times New Roman"/>
          <w:b w:val="0"/>
          <w:bCs w:val="0"/>
          <w:sz w:val="22"/>
          <w:szCs w:val="22"/>
        </w:rPr>
        <w:t>. TSMM042005</w:t>
      </w:r>
    </w:p>
    <w:p w14:paraId="5039F5D6" w14:textId="77777777" w:rsidR="00231D6A" w:rsidRPr="00093B75" w:rsidRDefault="00231D6A" w:rsidP="00597A56">
      <w:pPr>
        <w:tabs>
          <w:tab w:val="center" w:pos="4819"/>
          <w:tab w:val="right" w:pos="9612"/>
        </w:tabs>
        <w:jc w:val="center"/>
        <w:rPr>
          <w:rStyle w:val="Nessuno"/>
          <w:rFonts w:ascii="Times New Roman" w:hAnsi="Times New Roman" w:cs="Times New Roman"/>
          <w:b w:val="0"/>
          <w:bCs w:val="0"/>
          <w:sz w:val="22"/>
          <w:szCs w:val="22"/>
        </w:rPr>
      </w:pPr>
      <w:r w:rsidRPr="00093B75">
        <w:rPr>
          <w:rFonts w:ascii="Times New Roman" w:hAnsi="Times New Roman" w:cs="Times New Roman"/>
          <w:b w:val="0"/>
          <w:bCs w:val="0"/>
          <w:sz w:val="22"/>
          <w:szCs w:val="22"/>
        </w:rPr>
        <w:t xml:space="preserve">e-mail: </w:t>
      </w:r>
      <w:hyperlink r:id="rId10" w:history="1">
        <w:r w:rsidRPr="00093B75">
          <w:rPr>
            <w:rStyle w:val="Hyperlink0"/>
            <w:rFonts w:ascii="Times New Roman" w:hAnsi="Times New Roman" w:cs="Times New Roman"/>
            <w:sz w:val="22"/>
            <w:szCs w:val="22"/>
          </w:rPr>
          <w:t>TSMM042005@istruzione.it</w:t>
        </w:r>
      </w:hyperlink>
      <w:r w:rsidRPr="00093B75">
        <w:rPr>
          <w:rStyle w:val="Nessuno"/>
          <w:rFonts w:ascii="Times New Roman" w:hAnsi="Times New Roman" w:cs="Times New Roman"/>
          <w:b w:val="0"/>
          <w:bCs w:val="0"/>
          <w:sz w:val="22"/>
          <w:szCs w:val="22"/>
        </w:rPr>
        <w:t xml:space="preserve"> – </w:t>
      </w:r>
      <w:proofErr w:type="spellStart"/>
      <w:r w:rsidRPr="00093B75">
        <w:rPr>
          <w:rStyle w:val="Nessuno"/>
          <w:rFonts w:ascii="Times New Roman" w:hAnsi="Times New Roman" w:cs="Times New Roman"/>
          <w:b w:val="0"/>
          <w:bCs w:val="0"/>
          <w:sz w:val="22"/>
          <w:szCs w:val="22"/>
        </w:rPr>
        <w:t>pec</w:t>
      </w:r>
      <w:proofErr w:type="spellEnd"/>
      <w:r w:rsidRPr="00093B75">
        <w:rPr>
          <w:rStyle w:val="Nessuno"/>
          <w:rFonts w:ascii="Times New Roman" w:hAnsi="Times New Roman" w:cs="Times New Roman"/>
          <w:b w:val="0"/>
          <w:bCs w:val="0"/>
          <w:sz w:val="22"/>
          <w:szCs w:val="22"/>
        </w:rPr>
        <w:t xml:space="preserve">: </w:t>
      </w:r>
      <w:hyperlink r:id="rId11" w:history="1">
        <w:r w:rsidRPr="00093B75">
          <w:rPr>
            <w:rStyle w:val="Hyperlink0"/>
            <w:rFonts w:ascii="Times New Roman" w:hAnsi="Times New Roman" w:cs="Times New Roman"/>
            <w:sz w:val="22"/>
            <w:szCs w:val="22"/>
          </w:rPr>
          <w:t>TSMM042005@pec.istruzione.it</w:t>
        </w:r>
      </w:hyperlink>
    </w:p>
    <w:p w14:paraId="5A98F832" w14:textId="77777777" w:rsidR="00231D6A" w:rsidRPr="00093B75" w:rsidRDefault="00231D6A" w:rsidP="00597A56">
      <w:pPr>
        <w:tabs>
          <w:tab w:val="center" w:pos="4819"/>
          <w:tab w:val="right" w:pos="9612"/>
        </w:tabs>
        <w:jc w:val="center"/>
        <w:rPr>
          <w:rStyle w:val="Nessuno"/>
          <w:rFonts w:ascii="Times New Roman" w:hAnsi="Times New Roman" w:cs="Times New Roman"/>
          <w:b w:val="0"/>
          <w:bCs w:val="0"/>
          <w:sz w:val="22"/>
          <w:szCs w:val="22"/>
        </w:rPr>
      </w:pPr>
      <w:r w:rsidRPr="00093B75">
        <w:rPr>
          <w:rStyle w:val="Nessuno"/>
          <w:rFonts w:ascii="Times New Roman" w:hAnsi="Times New Roman" w:cs="Times New Roman"/>
          <w:b w:val="0"/>
          <w:bCs w:val="0"/>
          <w:sz w:val="22"/>
          <w:szCs w:val="22"/>
        </w:rPr>
        <w:t xml:space="preserve">sito web: </w:t>
      </w:r>
      <w:hyperlink r:id="rId12" w:history="1">
        <w:r w:rsidRPr="00093B75">
          <w:rPr>
            <w:rStyle w:val="Hyperlink0"/>
            <w:rFonts w:ascii="Times New Roman" w:hAnsi="Times New Roman" w:cs="Times New Roman"/>
            <w:sz w:val="22"/>
            <w:szCs w:val="22"/>
          </w:rPr>
          <w:t>http://cpiatrieste.edu.it</w:t>
        </w:r>
      </w:hyperlink>
    </w:p>
    <w:p w14:paraId="39766DC2" w14:textId="77777777" w:rsidR="00231D6A" w:rsidRPr="00093B75" w:rsidRDefault="00231D6A" w:rsidP="00597A56">
      <w:pPr>
        <w:jc w:val="center"/>
        <w:rPr>
          <w:rStyle w:val="Nessuno"/>
          <w:rFonts w:ascii="Times New Roman" w:hAnsi="Times New Roman" w:cs="Times New Roman"/>
          <w:b w:val="0"/>
          <w:bCs w:val="0"/>
          <w:sz w:val="22"/>
          <w:szCs w:val="22"/>
        </w:rPr>
      </w:pPr>
      <w:r w:rsidRPr="00093B75">
        <w:rPr>
          <w:rStyle w:val="Nessuno"/>
          <w:rFonts w:ascii="Times New Roman" w:hAnsi="Times New Roman" w:cs="Times New Roman"/>
          <w:b w:val="0"/>
          <w:bCs w:val="0"/>
          <w:sz w:val="22"/>
          <w:szCs w:val="22"/>
        </w:rPr>
        <w:t>Sedi dei corsi: via dell’Istria 45 – Largo del Pestalozzi 1</w:t>
      </w:r>
    </w:p>
    <w:p w14:paraId="73A55163" w14:textId="77777777" w:rsidR="00BC3835" w:rsidRPr="00093B75" w:rsidRDefault="00BC3835" w:rsidP="00BC3835">
      <w:pPr>
        <w:widowControl w:val="0"/>
        <w:tabs>
          <w:tab w:val="left" w:pos="1733"/>
        </w:tabs>
        <w:autoSpaceDE w:val="0"/>
        <w:autoSpaceDN w:val="0"/>
        <w:ind w:right="284"/>
        <w:jc w:val="both"/>
        <w:rPr>
          <w:rFonts w:ascii="Times New Roman" w:eastAsia="Calibri" w:hAnsi="Times New Roman" w:cs="Times New Roman"/>
          <w:b w:val="0"/>
          <w:bCs w:val="0"/>
          <w:i/>
          <w:iCs/>
          <w:sz w:val="22"/>
          <w:szCs w:val="22"/>
          <w:lang w:eastAsia="en-US"/>
        </w:rPr>
      </w:pPr>
    </w:p>
    <w:p w14:paraId="378CE814" w14:textId="77777777" w:rsidR="00530BC1" w:rsidRPr="00093B75" w:rsidRDefault="00530BC1" w:rsidP="00530BC1">
      <w:pPr>
        <w:widowControl w:val="0"/>
        <w:tabs>
          <w:tab w:val="left" w:pos="1733"/>
        </w:tabs>
        <w:autoSpaceDE w:val="0"/>
        <w:autoSpaceDN w:val="0"/>
        <w:ind w:right="284"/>
        <w:jc w:val="both"/>
        <w:rPr>
          <w:rFonts w:ascii="Times New Roman" w:eastAsia="Calibri" w:hAnsi="Times New Roman" w:cs="Times New Roman"/>
          <w:b w:val="0"/>
          <w:bCs w:val="0"/>
          <w:sz w:val="22"/>
          <w:szCs w:val="22"/>
          <w:lang w:eastAsia="en-US"/>
        </w:rPr>
      </w:pPr>
      <w:r w:rsidRPr="00093B75">
        <w:rPr>
          <w:rFonts w:ascii="Times New Roman" w:eastAsia="Calibri" w:hAnsi="Times New Roman" w:cs="Times New Roman"/>
          <w:b w:val="0"/>
          <w:bCs w:val="0"/>
          <w:sz w:val="22"/>
          <w:szCs w:val="22"/>
          <w:lang w:eastAsia="en-US"/>
        </w:rPr>
        <w:t>Piano Nazionale Di Ripresa E Resilienza Missione 4: Istruzione E Ricerca Componente 1 – Potenziamento dell’offerta dei servizi di istruzione: dagli asili nido alle Università</w:t>
      </w:r>
    </w:p>
    <w:p w14:paraId="33B0078E" w14:textId="77777777" w:rsidR="00530BC1" w:rsidRPr="00093B75" w:rsidRDefault="00530BC1" w:rsidP="00530BC1">
      <w:pPr>
        <w:widowControl w:val="0"/>
        <w:tabs>
          <w:tab w:val="left" w:pos="1733"/>
        </w:tabs>
        <w:autoSpaceDE w:val="0"/>
        <w:autoSpaceDN w:val="0"/>
        <w:ind w:right="284"/>
        <w:jc w:val="both"/>
        <w:rPr>
          <w:rFonts w:ascii="Times New Roman" w:eastAsia="Calibri" w:hAnsi="Times New Roman" w:cs="Times New Roman"/>
          <w:b w:val="0"/>
          <w:bCs w:val="0"/>
          <w:sz w:val="22"/>
          <w:szCs w:val="22"/>
          <w:lang w:eastAsia="en-US"/>
        </w:rPr>
      </w:pPr>
      <w:bookmarkStart w:id="0" w:name="_Hlk182473947"/>
      <w:r w:rsidRPr="00093B75">
        <w:rPr>
          <w:rFonts w:ascii="Times New Roman" w:eastAsia="Calibri" w:hAnsi="Times New Roman" w:cs="Times New Roman"/>
          <w:b w:val="0"/>
          <w:bCs w:val="0"/>
          <w:sz w:val="22"/>
          <w:szCs w:val="22"/>
          <w:lang w:eastAsia="en-US"/>
        </w:rPr>
        <w:t>Investimento 1.4: Intervento straordinario finalizzato alla riduzione dei divari territoriali nelle scuole secondarie di primo e di secondo grado e alla lotta alla dispersione scolastica</w:t>
      </w:r>
    </w:p>
    <w:p w14:paraId="031EA696" w14:textId="77777777" w:rsidR="00530BC1" w:rsidRPr="00093B75" w:rsidRDefault="00530BC1" w:rsidP="00530BC1">
      <w:pPr>
        <w:widowControl w:val="0"/>
        <w:tabs>
          <w:tab w:val="left" w:pos="1733"/>
        </w:tabs>
        <w:autoSpaceDE w:val="0"/>
        <w:autoSpaceDN w:val="0"/>
        <w:ind w:right="284"/>
        <w:jc w:val="both"/>
        <w:rPr>
          <w:rFonts w:ascii="Times New Roman" w:eastAsia="Calibri" w:hAnsi="Times New Roman" w:cs="Times New Roman"/>
          <w:b w:val="0"/>
          <w:bCs w:val="0"/>
          <w:sz w:val="22"/>
          <w:szCs w:val="22"/>
          <w:lang w:eastAsia="en-US"/>
        </w:rPr>
      </w:pPr>
      <w:r w:rsidRPr="00093B75">
        <w:rPr>
          <w:rFonts w:ascii="Times New Roman" w:eastAsia="Calibri" w:hAnsi="Times New Roman" w:cs="Times New Roman"/>
          <w:b w:val="0"/>
          <w:bCs w:val="0"/>
          <w:sz w:val="22"/>
          <w:szCs w:val="22"/>
          <w:lang w:eastAsia="en-US"/>
        </w:rPr>
        <w:t>Interventi di tutoraggio e formazione per la riduzione dei divari negli apprendimenti e il contrasto alla dispersione scolastica (D.M. 2 febbraio 2024, n. 19)</w:t>
      </w:r>
    </w:p>
    <w:bookmarkEnd w:id="0"/>
    <w:p w14:paraId="5D6530CB" w14:textId="77777777" w:rsidR="00530BC1" w:rsidRPr="00093B75" w:rsidRDefault="00530BC1" w:rsidP="00BC3835">
      <w:pPr>
        <w:widowControl w:val="0"/>
        <w:tabs>
          <w:tab w:val="left" w:pos="1733"/>
        </w:tabs>
        <w:autoSpaceDE w:val="0"/>
        <w:autoSpaceDN w:val="0"/>
        <w:ind w:right="284"/>
        <w:jc w:val="both"/>
        <w:rPr>
          <w:rFonts w:ascii="Times New Roman" w:eastAsia="Calibri" w:hAnsi="Times New Roman" w:cs="Times New Roman"/>
          <w:b w:val="0"/>
          <w:bCs w:val="0"/>
          <w:sz w:val="22"/>
          <w:szCs w:val="22"/>
          <w:lang w:eastAsia="en-US"/>
        </w:rPr>
      </w:pPr>
    </w:p>
    <w:tbl>
      <w:tblPr>
        <w:tblStyle w:val="Grigliatabella"/>
        <w:tblW w:w="0" w:type="auto"/>
        <w:tblLook w:val="04A0" w:firstRow="1" w:lastRow="0" w:firstColumn="1" w:lastColumn="0" w:noHBand="0" w:noVBand="1"/>
      </w:tblPr>
      <w:tblGrid>
        <w:gridCol w:w="4011"/>
        <w:gridCol w:w="2097"/>
        <w:gridCol w:w="1945"/>
        <w:gridCol w:w="1543"/>
      </w:tblGrid>
      <w:tr w:rsidR="00530BC1" w:rsidRPr="00093B75" w14:paraId="45FC764D" w14:textId="77777777" w:rsidTr="00530BC1">
        <w:trPr>
          <w:trHeight w:val="434"/>
        </w:trPr>
        <w:tc>
          <w:tcPr>
            <w:tcW w:w="4011" w:type="dxa"/>
          </w:tcPr>
          <w:p w14:paraId="6AC33C71" w14:textId="77777777" w:rsidR="00530BC1" w:rsidRPr="00093B75" w:rsidRDefault="00530BC1" w:rsidP="00751AB6">
            <w:pPr>
              <w:pStyle w:val="Corpotesto"/>
              <w:spacing w:line="254" w:lineRule="auto"/>
              <w:ind w:right="72"/>
              <w:jc w:val="both"/>
              <w:rPr>
                <w:rFonts w:ascii="Times New Roman" w:hAnsi="Times New Roman" w:cs="Times New Roman"/>
                <w:b/>
                <w:bCs/>
                <w:sz w:val="22"/>
                <w:szCs w:val="22"/>
              </w:rPr>
            </w:pPr>
            <w:bookmarkStart w:id="1" w:name="_Hlk189430098"/>
            <w:r w:rsidRPr="00093B75">
              <w:rPr>
                <w:rFonts w:ascii="Times New Roman" w:hAnsi="Times New Roman" w:cs="Times New Roman"/>
                <w:b/>
                <w:bCs/>
                <w:w w:val="105"/>
                <w:sz w:val="22"/>
                <w:szCs w:val="22"/>
              </w:rPr>
              <w:t>Linea di investimento</w:t>
            </w:r>
          </w:p>
        </w:tc>
        <w:tc>
          <w:tcPr>
            <w:tcW w:w="2097" w:type="dxa"/>
          </w:tcPr>
          <w:p w14:paraId="5EF29BA2" w14:textId="77777777" w:rsidR="00530BC1" w:rsidRPr="00093B75" w:rsidRDefault="00530BC1" w:rsidP="00751AB6">
            <w:pPr>
              <w:pStyle w:val="Corpotesto"/>
              <w:spacing w:line="254" w:lineRule="auto"/>
              <w:ind w:right="72"/>
              <w:jc w:val="both"/>
              <w:rPr>
                <w:rFonts w:ascii="Times New Roman" w:hAnsi="Times New Roman" w:cs="Times New Roman"/>
                <w:b/>
                <w:bCs/>
                <w:sz w:val="22"/>
                <w:szCs w:val="22"/>
              </w:rPr>
            </w:pPr>
            <w:r w:rsidRPr="00093B75">
              <w:rPr>
                <w:rFonts w:ascii="Times New Roman" w:hAnsi="Times New Roman" w:cs="Times New Roman"/>
                <w:b/>
                <w:bCs/>
                <w:spacing w:val="-1"/>
                <w:w w:val="105"/>
                <w:sz w:val="22"/>
                <w:szCs w:val="22"/>
              </w:rPr>
              <w:t>Codice Progetto</w:t>
            </w:r>
          </w:p>
        </w:tc>
        <w:tc>
          <w:tcPr>
            <w:tcW w:w="1945" w:type="dxa"/>
          </w:tcPr>
          <w:p w14:paraId="1C4974DD" w14:textId="77777777" w:rsidR="00530BC1" w:rsidRPr="00093B75" w:rsidRDefault="00530BC1" w:rsidP="00751AB6">
            <w:pPr>
              <w:pStyle w:val="Corpotesto"/>
              <w:spacing w:line="254" w:lineRule="auto"/>
              <w:ind w:right="72"/>
              <w:jc w:val="both"/>
              <w:rPr>
                <w:rFonts w:ascii="Times New Roman" w:hAnsi="Times New Roman" w:cs="Times New Roman"/>
                <w:b/>
                <w:bCs/>
                <w:sz w:val="22"/>
                <w:szCs w:val="22"/>
              </w:rPr>
            </w:pPr>
            <w:r w:rsidRPr="00093B75">
              <w:rPr>
                <w:rFonts w:ascii="Times New Roman" w:hAnsi="Times New Roman" w:cs="Times New Roman"/>
                <w:b/>
                <w:bCs/>
                <w:spacing w:val="-1"/>
                <w:w w:val="105"/>
                <w:sz w:val="22"/>
                <w:szCs w:val="22"/>
              </w:rPr>
              <w:t>Titolo</w:t>
            </w:r>
            <w:r w:rsidRPr="00093B75">
              <w:rPr>
                <w:rFonts w:ascii="Times New Roman" w:hAnsi="Times New Roman" w:cs="Times New Roman"/>
                <w:b/>
                <w:bCs/>
                <w:spacing w:val="-13"/>
                <w:w w:val="105"/>
                <w:sz w:val="22"/>
                <w:szCs w:val="22"/>
              </w:rPr>
              <w:t xml:space="preserve"> </w:t>
            </w:r>
            <w:r w:rsidRPr="00093B75">
              <w:rPr>
                <w:rFonts w:ascii="Times New Roman" w:hAnsi="Times New Roman" w:cs="Times New Roman"/>
                <w:b/>
                <w:bCs/>
                <w:w w:val="105"/>
                <w:sz w:val="22"/>
                <w:szCs w:val="22"/>
              </w:rPr>
              <w:t>progetto</w:t>
            </w:r>
          </w:p>
        </w:tc>
        <w:tc>
          <w:tcPr>
            <w:tcW w:w="1543" w:type="dxa"/>
          </w:tcPr>
          <w:p w14:paraId="4915020D" w14:textId="77777777" w:rsidR="00530BC1" w:rsidRPr="00093B75" w:rsidRDefault="00530BC1" w:rsidP="00751AB6">
            <w:pPr>
              <w:pStyle w:val="Corpotesto"/>
              <w:spacing w:line="254" w:lineRule="auto"/>
              <w:ind w:right="72"/>
              <w:jc w:val="both"/>
              <w:rPr>
                <w:rFonts w:ascii="Times New Roman" w:hAnsi="Times New Roman" w:cs="Times New Roman"/>
                <w:b/>
                <w:bCs/>
                <w:sz w:val="22"/>
                <w:szCs w:val="22"/>
              </w:rPr>
            </w:pPr>
            <w:r w:rsidRPr="00093B75">
              <w:rPr>
                <w:rFonts w:ascii="Times New Roman" w:hAnsi="Times New Roman" w:cs="Times New Roman"/>
                <w:b/>
                <w:bCs/>
                <w:sz w:val="22"/>
                <w:szCs w:val="22"/>
              </w:rPr>
              <w:t>Importo finanziato</w:t>
            </w:r>
          </w:p>
        </w:tc>
      </w:tr>
      <w:tr w:rsidR="00530BC1" w:rsidRPr="00093B75" w14:paraId="3C18A256" w14:textId="77777777" w:rsidTr="00530BC1">
        <w:trPr>
          <w:trHeight w:val="1072"/>
        </w:trPr>
        <w:tc>
          <w:tcPr>
            <w:tcW w:w="4011" w:type="dxa"/>
          </w:tcPr>
          <w:p w14:paraId="0153500D" w14:textId="77777777" w:rsidR="00530BC1" w:rsidRPr="00093B75" w:rsidRDefault="00530BC1" w:rsidP="00751AB6">
            <w:pPr>
              <w:pStyle w:val="Corpotesto"/>
              <w:spacing w:line="254" w:lineRule="auto"/>
              <w:ind w:right="72"/>
              <w:jc w:val="both"/>
              <w:rPr>
                <w:rFonts w:ascii="Times New Roman" w:hAnsi="Times New Roman" w:cs="Times New Roman"/>
                <w:b/>
                <w:bCs/>
                <w:sz w:val="22"/>
                <w:szCs w:val="22"/>
              </w:rPr>
            </w:pPr>
            <w:r w:rsidRPr="00093B75">
              <w:rPr>
                <w:rFonts w:ascii="Times New Roman" w:hAnsi="Times New Roman" w:cs="Times New Roman"/>
                <w:b/>
                <w:bCs/>
                <w:sz w:val="22"/>
                <w:szCs w:val="22"/>
              </w:rPr>
              <w:t xml:space="preserve">Interventi di tutoraggio e formazione per la riduzione dei divari negli apprendimenti e il contrasto alla dispersione scolastica D.M. n. 19/2024 </w:t>
            </w:r>
          </w:p>
          <w:p w14:paraId="7432C1A9" w14:textId="77777777" w:rsidR="00530BC1" w:rsidRPr="00093B75" w:rsidRDefault="00530BC1" w:rsidP="00751AB6">
            <w:pPr>
              <w:pStyle w:val="Corpotesto"/>
              <w:spacing w:line="254" w:lineRule="auto"/>
              <w:ind w:right="72"/>
              <w:jc w:val="both"/>
              <w:rPr>
                <w:rFonts w:ascii="Times New Roman" w:hAnsi="Times New Roman" w:cs="Times New Roman"/>
                <w:b/>
                <w:bCs/>
                <w:sz w:val="22"/>
                <w:szCs w:val="22"/>
              </w:rPr>
            </w:pPr>
            <w:r w:rsidRPr="00093B75">
              <w:rPr>
                <w:rFonts w:ascii="Times New Roman" w:hAnsi="Times New Roman" w:cs="Times New Roman"/>
                <w:b/>
                <w:bCs/>
                <w:sz w:val="22"/>
                <w:szCs w:val="22"/>
              </w:rPr>
              <w:t xml:space="preserve"> CUP I94D21000220006</w:t>
            </w:r>
          </w:p>
        </w:tc>
        <w:tc>
          <w:tcPr>
            <w:tcW w:w="2097" w:type="dxa"/>
          </w:tcPr>
          <w:p w14:paraId="5A3C606A" w14:textId="77777777" w:rsidR="00530BC1" w:rsidRPr="00093B75" w:rsidRDefault="00530BC1" w:rsidP="00751AB6">
            <w:pPr>
              <w:pStyle w:val="Corpotesto"/>
              <w:spacing w:line="254" w:lineRule="auto"/>
              <w:ind w:right="72"/>
              <w:jc w:val="both"/>
              <w:rPr>
                <w:rFonts w:ascii="Times New Roman" w:hAnsi="Times New Roman" w:cs="Times New Roman"/>
                <w:b/>
                <w:bCs/>
                <w:sz w:val="22"/>
                <w:szCs w:val="22"/>
              </w:rPr>
            </w:pPr>
            <w:r w:rsidRPr="00093B75">
              <w:rPr>
                <w:rFonts w:ascii="Times New Roman" w:hAnsi="Times New Roman" w:cs="Times New Roman"/>
                <w:b/>
                <w:bCs/>
                <w:sz w:val="22"/>
                <w:szCs w:val="22"/>
              </w:rPr>
              <w:t>Codice identificativo del progetto: M4C1I1.4-2024- 1322P-46630</w:t>
            </w:r>
          </w:p>
        </w:tc>
        <w:tc>
          <w:tcPr>
            <w:tcW w:w="1945" w:type="dxa"/>
          </w:tcPr>
          <w:p w14:paraId="594B96CD" w14:textId="77777777" w:rsidR="00530BC1" w:rsidRPr="00093B75" w:rsidRDefault="00530BC1" w:rsidP="00751AB6">
            <w:pPr>
              <w:pStyle w:val="Corpotesto"/>
              <w:spacing w:line="254" w:lineRule="auto"/>
              <w:ind w:right="72"/>
              <w:jc w:val="both"/>
              <w:rPr>
                <w:rFonts w:ascii="Times New Roman" w:hAnsi="Times New Roman" w:cs="Times New Roman"/>
                <w:b/>
                <w:bCs/>
                <w:sz w:val="22"/>
                <w:szCs w:val="22"/>
              </w:rPr>
            </w:pPr>
            <w:r w:rsidRPr="00093B75">
              <w:rPr>
                <w:rFonts w:ascii="Times New Roman" w:hAnsi="Times New Roman" w:cs="Times New Roman"/>
                <w:b/>
                <w:bCs/>
                <w:sz w:val="22"/>
                <w:szCs w:val="22"/>
              </w:rPr>
              <w:t>ASCENSORE SCUOLA</w:t>
            </w:r>
          </w:p>
        </w:tc>
        <w:tc>
          <w:tcPr>
            <w:tcW w:w="1543" w:type="dxa"/>
          </w:tcPr>
          <w:p w14:paraId="43E51D93" w14:textId="77777777" w:rsidR="00530BC1" w:rsidRPr="00093B75" w:rsidRDefault="00530BC1" w:rsidP="00751AB6">
            <w:pPr>
              <w:spacing w:after="241" w:line="248" w:lineRule="auto"/>
              <w:ind w:left="-5" w:hanging="10"/>
              <w:jc w:val="both"/>
              <w:rPr>
                <w:rFonts w:ascii="Times New Roman" w:hAnsi="Times New Roman" w:cs="Times New Roman"/>
                <w:color w:val="0A0A0A"/>
                <w:sz w:val="22"/>
                <w:szCs w:val="22"/>
              </w:rPr>
            </w:pPr>
            <w:r w:rsidRPr="00093B75">
              <w:rPr>
                <w:rFonts w:ascii="Times New Roman" w:hAnsi="Times New Roman" w:cs="Times New Roman"/>
                <w:color w:val="0A0A0A"/>
                <w:sz w:val="22"/>
                <w:szCs w:val="22"/>
              </w:rPr>
              <w:t xml:space="preserve">€ 215.827,99 </w:t>
            </w:r>
          </w:p>
          <w:p w14:paraId="47AC67D8" w14:textId="77777777" w:rsidR="00530BC1" w:rsidRPr="00093B75" w:rsidRDefault="00530BC1" w:rsidP="00751AB6">
            <w:pPr>
              <w:pStyle w:val="Corpotesto"/>
              <w:spacing w:line="254" w:lineRule="auto"/>
              <w:ind w:right="72"/>
              <w:jc w:val="both"/>
              <w:rPr>
                <w:rFonts w:ascii="Times New Roman" w:hAnsi="Times New Roman" w:cs="Times New Roman"/>
                <w:b/>
                <w:bCs/>
                <w:sz w:val="22"/>
                <w:szCs w:val="22"/>
              </w:rPr>
            </w:pPr>
          </w:p>
        </w:tc>
      </w:tr>
      <w:bookmarkEnd w:id="1"/>
    </w:tbl>
    <w:p w14:paraId="43D5D54C" w14:textId="77777777" w:rsidR="00530BC1" w:rsidRPr="00093B75" w:rsidRDefault="00530BC1" w:rsidP="00BC3835">
      <w:pPr>
        <w:widowControl w:val="0"/>
        <w:tabs>
          <w:tab w:val="left" w:pos="1733"/>
        </w:tabs>
        <w:autoSpaceDE w:val="0"/>
        <w:autoSpaceDN w:val="0"/>
        <w:ind w:right="284"/>
        <w:jc w:val="both"/>
        <w:rPr>
          <w:rFonts w:ascii="Times New Roman" w:eastAsia="Calibri" w:hAnsi="Times New Roman" w:cs="Times New Roman"/>
          <w:b w:val="0"/>
          <w:bCs w:val="0"/>
          <w:sz w:val="22"/>
          <w:szCs w:val="22"/>
          <w:lang w:eastAsia="en-US"/>
        </w:rPr>
      </w:pPr>
    </w:p>
    <w:p w14:paraId="2BD7D490" w14:textId="77777777" w:rsidR="00C274C5" w:rsidRPr="00093B75" w:rsidRDefault="00C274C5" w:rsidP="00A14BDD">
      <w:pPr>
        <w:pStyle w:val="Titolo3"/>
        <w:jc w:val="both"/>
        <w:rPr>
          <w:rStyle w:val="Enfasigrassetto"/>
          <w:rFonts w:ascii="Times New Roman" w:hAnsi="Times New Roman" w:cs="Times New Roman"/>
          <w:color w:val="auto"/>
          <w:sz w:val="22"/>
          <w:szCs w:val="22"/>
        </w:rPr>
      </w:pPr>
    </w:p>
    <w:p w14:paraId="7ABF6606" w14:textId="6792CDF7" w:rsidR="00E34462" w:rsidRPr="00922153" w:rsidRDefault="00146B5C" w:rsidP="00E34462">
      <w:pPr>
        <w:pStyle w:val="Titolo3"/>
        <w:ind w:left="284"/>
        <w:jc w:val="both"/>
        <w:rPr>
          <w:rFonts w:ascii="Times New Roman" w:hAnsi="Times New Roman" w:cs="Times New Roman"/>
          <w:b w:val="0"/>
          <w:bCs w:val="0"/>
          <w:color w:val="auto"/>
        </w:rPr>
      </w:pPr>
      <w:r w:rsidRPr="00922153">
        <w:rPr>
          <w:rFonts w:ascii="Times New Roman" w:hAnsi="Times New Roman" w:cs="Times New Roman"/>
          <w:color w:val="auto"/>
        </w:rPr>
        <w:t>Oggetto</w:t>
      </w:r>
      <w:r w:rsidRPr="00922153">
        <w:rPr>
          <w:rFonts w:ascii="Times New Roman" w:hAnsi="Times New Roman" w:cs="Times New Roman"/>
          <w:b w:val="0"/>
          <w:bCs w:val="0"/>
          <w:color w:val="auto"/>
        </w:rPr>
        <w:t xml:space="preserve">: Decreto di Avvio </w:t>
      </w:r>
      <w:r w:rsidR="00342C10" w:rsidRPr="00922153">
        <w:rPr>
          <w:rFonts w:ascii="Times New Roman" w:hAnsi="Times New Roman" w:cs="Times New Roman"/>
          <w:b w:val="0"/>
          <w:bCs w:val="0"/>
          <w:color w:val="auto"/>
        </w:rPr>
        <w:t>Selezione di Docenti interni all’Istituto Scolastico Centro per l’Istruzione Adulti CPIA di Trieste per la realizzazione di</w:t>
      </w:r>
      <w:r w:rsidR="00E34462" w:rsidRPr="00922153">
        <w:rPr>
          <w:rFonts w:ascii="Times New Roman" w:hAnsi="Times New Roman" w:cs="Times New Roman"/>
          <w:b w:val="0"/>
          <w:bCs w:val="0"/>
          <w:color w:val="auto"/>
        </w:rPr>
        <w:t>:</w:t>
      </w:r>
    </w:p>
    <w:p w14:paraId="3C36B906" w14:textId="169788AE" w:rsidR="00E34462" w:rsidRPr="00B61055" w:rsidRDefault="00E34462" w:rsidP="00E34462">
      <w:pPr>
        <w:pStyle w:val="Paragrafoelenco"/>
        <w:numPr>
          <w:ilvl w:val="0"/>
          <w:numId w:val="34"/>
        </w:numPr>
        <w:rPr>
          <w:rFonts w:ascii="Times New Roman" w:hAnsi="Times New Roman" w:cs="Times New Roman"/>
          <w:sz w:val="24"/>
          <w:szCs w:val="24"/>
        </w:rPr>
      </w:pPr>
      <w:r w:rsidRPr="00B61055">
        <w:rPr>
          <w:rFonts w:ascii="Times New Roman" w:hAnsi="Times New Roman" w:cs="Times New Roman"/>
          <w:sz w:val="24"/>
          <w:szCs w:val="24"/>
        </w:rPr>
        <w:t xml:space="preserve"> n. 66 Percorsi di Tutoraggio e Orientamento di gruppo</w:t>
      </w:r>
      <w:r w:rsidRPr="00B61055">
        <w:rPr>
          <w:rFonts w:ascii="Times New Roman" w:hAnsi="Times New Roman" w:cs="Times New Roman"/>
          <w:sz w:val="24"/>
          <w:szCs w:val="24"/>
        </w:rPr>
        <w:t>, anche con il coinvolgimento delle famiglie</w:t>
      </w:r>
    </w:p>
    <w:p w14:paraId="52473677" w14:textId="77777777" w:rsidR="00E34462" w:rsidRPr="00B61055" w:rsidRDefault="00342C10" w:rsidP="00E34462">
      <w:pPr>
        <w:pStyle w:val="Titolo3"/>
        <w:numPr>
          <w:ilvl w:val="0"/>
          <w:numId w:val="34"/>
        </w:numPr>
        <w:jc w:val="both"/>
        <w:rPr>
          <w:rFonts w:ascii="Times New Roman" w:hAnsi="Times New Roman" w:cs="Times New Roman"/>
          <w:color w:val="auto"/>
        </w:rPr>
      </w:pPr>
      <w:r w:rsidRPr="00B61055">
        <w:rPr>
          <w:rFonts w:ascii="Times New Roman" w:hAnsi="Times New Roman" w:cs="Times New Roman"/>
          <w:color w:val="auto"/>
        </w:rPr>
        <w:t xml:space="preserve">n. 206 Percorsi di Mentoring e Orientamento, </w:t>
      </w:r>
    </w:p>
    <w:p w14:paraId="660309AA" w14:textId="4E634B29" w:rsidR="00342C10" w:rsidRPr="00B61055" w:rsidRDefault="00342C10" w:rsidP="00E34462">
      <w:pPr>
        <w:pStyle w:val="Titolo3"/>
        <w:ind w:left="720"/>
        <w:jc w:val="both"/>
        <w:rPr>
          <w:rFonts w:ascii="Times New Roman" w:hAnsi="Times New Roman" w:cs="Times New Roman"/>
          <w:b w:val="0"/>
          <w:bCs w:val="0"/>
          <w:color w:val="auto"/>
        </w:rPr>
      </w:pPr>
      <w:r w:rsidRPr="00B61055">
        <w:rPr>
          <w:rFonts w:ascii="Times New Roman" w:hAnsi="Times New Roman" w:cs="Times New Roman"/>
          <w:b w:val="0"/>
          <w:bCs w:val="0"/>
          <w:color w:val="auto"/>
        </w:rPr>
        <w:t xml:space="preserve">rientranti nell’ambito delle Azioni per la riduzione dei divari territoriali e il contrasto alla dispersione scolastica di cui al Decreto del Ministero dell’Istruzione del 2 febbraio 2024, n. 19. </w:t>
      </w:r>
    </w:p>
    <w:p w14:paraId="3581DCC4" w14:textId="3CC57455" w:rsidR="00CD291A" w:rsidRPr="00E34462" w:rsidRDefault="00CD291A" w:rsidP="00A14BDD">
      <w:pPr>
        <w:pStyle w:val="Titolo3"/>
        <w:jc w:val="both"/>
        <w:rPr>
          <w:rStyle w:val="Enfasigrassetto"/>
          <w:rFonts w:ascii="Times New Roman" w:hAnsi="Times New Roman" w:cs="Times New Roman"/>
          <w:b/>
          <w:bCs/>
          <w:sz w:val="22"/>
          <w:szCs w:val="22"/>
        </w:rPr>
      </w:pPr>
    </w:p>
    <w:p w14:paraId="2BCC7A2A" w14:textId="331F8815" w:rsidR="00CD291A" w:rsidRPr="00093B75" w:rsidRDefault="00CD291A" w:rsidP="00CD291A">
      <w:pPr>
        <w:pStyle w:val="Testopredefi"/>
        <w:jc w:val="right"/>
        <w:rPr>
          <w:sz w:val="22"/>
          <w:szCs w:val="22"/>
        </w:rPr>
      </w:pPr>
      <w:r w:rsidRPr="00093B75">
        <w:rPr>
          <w:sz w:val="22"/>
          <w:szCs w:val="22"/>
        </w:rPr>
        <w:t>All’Albo On Line</w:t>
      </w:r>
    </w:p>
    <w:p w14:paraId="5E777931" w14:textId="77777777" w:rsidR="00CD291A" w:rsidRPr="00093B75" w:rsidRDefault="00CD291A" w:rsidP="00CD291A">
      <w:pPr>
        <w:pStyle w:val="Testopredefi"/>
        <w:jc w:val="right"/>
        <w:rPr>
          <w:sz w:val="22"/>
          <w:szCs w:val="22"/>
        </w:rPr>
      </w:pPr>
      <w:r w:rsidRPr="00093B75">
        <w:rPr>
          <w:sz w:val="22"/>
          <w:szCs w:val="22"/>
        </w:rPr>
        <w:t xml:space="preserve"> All’Amministrazione Trasparente </w:t>
      </w:r>
    </w:p>
    <w:p w14:paraId="28714822" w14:textId="77777777" w:rsidR="00CD291A" w:rsidRPr="00093B75" w:rsidRDefault="00CD291A" w:rsidP="00CD291A">
      <w:pPr>
        <w:pStyle w:val="Testopredefi"/>
        <w:jc w:val="right"/>
        <w:rPr>
          <w:rFonts w:eastAsia="Book Antiqua"/>
          <w:sz w:val="22"/>
          <w:szCs w:val="22"/>
        </w:rPr>
      </w:pPr>
      <w:r w:rsidRPr="00093B75">
        <w:rPr>
          <w:sz w:val="22"/>
          <w:szCs w:val="22"/>
        </w:rPr>
        <w:t>Al sito Web sezione PNRR</w:t>
      </w:r>
    </w:p>
    <w:p w14:paraId="53A98363" w14:textId="29224DEC" w:rsidR="008D1936" w:rsidRPr="00093B75" w:rsidRDefault="008D1936" w:rsidP="008D1936">
      <w:pPr>
        <w:pStyle w:val="Testopredefi"/>
        <w:ind w:hanging="284"/>
        <w:rPr>
          <w:rFonts w:eastAsia="Book Antiqua"/>
          <w:b/>
          <w:sz w:val="22"/>
          <w:szCs w:val="22"/>
        </w:rPr>
      </w:pPr>
    </w:p>
    <w:p w14:paraId="50478A9E" w14:textId="6DD67E06" w:rsidR="00342C10" w:rsidRPr="00093B75" w:rsidRDefault="00342C10" w:rsidP="00146B5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center"/>
        <w:rPr>
          <w:rFonts w:ascii="Times New Roman" w:eastAsia="Times New Roman" w:hAnsi="Times New Roman" w:cs="Times New Roman"/>
          <w:sz w:val="22"/>
          <w:szCs w:val="22"/>
          <w:bdr w:val="none" w:sz="0" w:space="0" w:color="auto"/>
        </w:rPr>
      </w:pPr>
      <w:r w:rsidRPr="00093B75">
        <w:rPr>
          <w:rFonts w:ascii="Times New Roman" w:eastAsia="Times New Roman" w:hAnsi="Times New Roman" w:cs="Times New Roman"/>
          <w:sz w:val="22"/>
          <w:szCs w:val="22"/>
          <w:bdr w:val="none" w:sz="0" w:space="0" w:color="auto"/>
        </w:rPr>
        <w:t>IL DIRIGENTE SCOLASTICO</w:t>
      </w:r>
    </w:p>
    <w:p w14:paraId="639DBD3E"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R.D. 18 novembre 1923, n. 2440, concernente l’amministrazione del Patrimonio e la Contabilità Generale dello Stato ed il relativo regolamento approvato con R.D. 23 maggio 1924, n. 827 e </w:t>
      </w:r>
      <w:proofErr w:type="spellStart"/>
      <w:r w:rsidRPr="00093B75">
        <w:rPr>
          <w:rFonts w:ascii="Times New Roman" w:eastAsia="Times New Roman" w:hAnsi="Times New Roman" w:cs="Times New Roman"/>
          <w:b w:val="0"/>
          <w:sz w:val="22"/>
          <w:szCs w:val="22"/>
          <w:bdr w:val="none" w:sz="0" w:space="0" w:color="auto"/>
        </w:rPr>
        <w:t>ss.mm.ii</w:t>
      </w:r>
      <w:proofErr w:type="spellEnd"/>
      <w:r w:rsidRPr="00093B75">
        <w:rPr>
          <w:rFonts w:ascii="Times New Roman" w:eastAsia="Times New Roman" w:hAnsi="Times New Roman" w:cs="Times New Roman"/>
          <w:b w:val="0"/>
          <w:sz w:val="22"/>
          <w:szCs w:val="22"/>
          <w:bdr w:val="none" w:sz="0" w:space="0" w:color="auto"/>
        </w:rPr>
        <w:t xml:space="preserve">.;  </w:t>
      </w:r>
    </w:p>
    <w:p w14:paraId="3571D84E"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D.I. n. 129/2018 "Regolamento recante istruzioni generali sulla gestione amministrativo-contabile delle istituzioni scolastiche, ai sensi dell’articolo 1, comma 143, della Legge 13 luglio 2015, n. 107";  </w:t>
      </w:r>
    </w:p>
    <w:p w14:paraId="6B83E793"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Decreto Legislativo 30 marzo 2001, n. 165 recante “Norme generali sull’ordinamento del lavoro alle dipendenze delle Amministrazioni Pubbliche” e </w:t>
      </w:r>
      <w:proofErr w:type="spellStart"/>
      <w:r w:rsidRPr="00093B75">
        <w:rPr>
          <w:rFonts w:ascii="Times New Roman" w:eastAsia="Times New Roman" w:hAnsi="Times New Roman" w:cs="Times New Roman"/>
          <w:b w:val="0"/>
          <w:sz w:val="22"/>
          <w:szCs w:val="22"/>
          <w:bdr w:val="none" w:sz="0" w:space="0" w:color="auto"/>
        </w:rPr>
        <w:t>ss.mm.ii</w:t>
      </w:r>
      <w:proofErr w:type="spellEnd"/>
      <w:r w:rsidRPr="00093B75">
        <w:rPr>
          <w:rFonts w:ascii="Times New Roman" w:eastAsia="Times New Roman" w:hAnsi="Times New Roman" w:cs="Times New Roman"/>
          <w:b w:val="0"/>
          <w:sz w:val="22"/>
          <w:szCs w:val="22"/>
          <w:bdr w:val="none" w:sz="0" w:space="0" w:color="auto"/>
        </w:rPr>
        <w:t xml:space="preserve">.;  </w:t>
      </w:r>
    </w:p>
    <w:p w14:paraId="3E57D7EE"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Legge 7 agosto 1990, n. 241 “Nuove norme in materia di procedimento amministrativo e di diritto di accesso ai documenti amministrativi” e </w:t>
      </w:r>
      <w:proofErr w:type="spellStart"/>
      <w:r w:rsidRPr="00093B75">
        <w:rPr>
          <w:rFonts w:ascii="Times New Roman" w:eastAsia="Times New Roman" w:hAnsi="Times New Roman" w:cs="Times New Roman"/>
          <w:b w:val="0"/>
          <w:sz w:val="22"/>
          <w:szCs w:val="22"/>
          <w:bdr w:val="none" w:sz="0" w:space="0" w:color="auto"/>
        </w:rPr>
        <w:t>ss.mm.ii</w:t>
      </w:r>
      <w:proofErr w:type="spellEnd"/>
      <w:r w:rsidRPr="00093B75">
        <w:rPr>
          <w:rFonts w:ascii="Times New Roman" w:eastAsia="Times New Roman" w:hAnsi="Times New Roman" w:cs="Times New Roman"/>
          <w:b w:val="0"/>
          <w:sz w:val="22"/>
          <w:szCs w:val="22"/>
          <w:bdr w:val="none" w:sz="0" w:space="0" w:color="auto"/>
        </w:rPr>
        <w:t xml:space="preserve">.;  </w:t>
      </w:r>
    </w:p>
    <w:p w14:paraId="4B03A418"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Legge 15 marzo 1997 n. 59, concernente “Delega al Governo per il conferimento di funzioni e compiti alle regioni ed enti locali, per la riforma della Pubblica Amministrazione e per la semplificazione amministrativa";  </w:t>
      </w:r>
    </w:p>
    <w:p w14:paraId="65BB165E"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D.P.R. 8 marzo 1999, n. 275, concernente il Regolamento recante norme in materia di autonomia delle Istituzioni Scolastiche, ai sensi dell'art. 21 della Legge 15 marzo 1997, n. 59;  </w:t>
      </w:r>
    </w:p>
    <w:p w14:paraId="5555F255"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Legge 13 luglio 2015 n. 107, concernente “Riforma del sistema nazionale di istruzione e </w:t>
      </w:r>
    </w:p>
    <w:p w14:paraId="5D3E8D14"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formazione e delega per il riordino delle disposizioni legislative vigenti” </w:t>
      </w:r>
    </w:p>
    <w:p w14:paraId="6599B54D" w14:textId="29C775CE"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lastRenderedPageBreak/>
        <w:t xml:space="preserve"> VISTO il Decreto Legislativo recante il Codice dei Contratti Pubblici n. 36 del 31/03/2023, approvato dal Consiglio dei Ministri nella seduta del 28/03/2023, attuativo dell’articolo 1 della legge 21 giugno 2022, n. </w:t>
      </w:r>
    </w:p>
    <w:p w14:paraId="54CD30A6"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78;  </w:t>
      </w:r>
    </w:p>
    <w:p w14:paraId="75B95EE8" w14:textId="32DABB75"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l’art. 11 della Legge 16 gennaio 2003, n. 3, recante “Disposizioni ordinamentali in materia di pubblica amministrazione”, in forza del quale “ogni nuovo progetto di investimento pubblico, nonché ogni progetto in corso di attuazione alla predetta data, è dotato di un "Codice unico di progetto", che le competenti amministrazioni o i soggetti aggiudicatori richiedono in via telematica secondo la procedura definita dal CIPE”;  </w:t>
      </w:r>
    </w:p>
    <w:p w14:paraId="637AF3B3"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l’art. 3 della Legge 13 agosto 2010, n. 136, recante il “Piano straordinario contro le mafie, nonché delega al Governo in materia di normativa antimafia”, in forza del quale “Ai fini della tracciabilità dei flussi finanziari, gli strumenti di pagamento devono riportare, in relazione a ciascuna transazione posta in essere dalla stazione appaltante e dagli altri soggetti di cui al comma 1, il codice identificativo di gara (CIG), attribuito dall'Autorità di vigilanza sui contratti pubblici di lavori, servizi e forniture su richiesta della stazione appaltante e, ove obbligatorio ai sensi dell'articolo 11 della legge 16 gennaio 2003, n. 3, il codice unico di progetto (CUP)”;  </w:t>
      </w:r>
    </w:p>
    <w:p w14:paraId="7EE3F8F5"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Determinazione ANAC n. 4 del 7 luglio 2011, recante le “Linee guida sulla tracciabilità dei flussi finanziari ai sensi dell’articolo 3 della legge 13 agosto 2010, n. 136”, come aggiornata dalla delibera ANAC n. 556/2017 e da ultimo modificata dalla delibera ANAC n. 371/2022;  </w:t>
      </w:r>
    </w:p>
    <w:p w14:paraId="0AD2D488"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delibera del CIPE n. 63 del 26 novembre 2020 che introduce la normativa attuativa della riforma del CUP;  </w:t>
      </w:r>
    </w:p>
    <w:p w14:paraId="55300CE4"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Decreto-Legge 6 maggio 2021, n. 59, convertito, con modificazioni, dalla legge 1° luglio 2021, n. 101, recante “Misure urgenti relative al Fondo complementare al Piano nazionale di ripresa e resilienza e altre misure urgenti per gli investimenti”;  </w:t>
      </w:r>
    </w:p>
    <w:p w14:paraId="2F6B7C78"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Decreto Legge 9 giugno 2021, n. 80, convertito nella legge 6 agosto 2021, n. 113, recante: «Misure urgenti per il rafforzamento della capacità amministrativa delle pubbliche amministrazioni funzionale all'attuazione del Piano nazionale di ripresa e resilienza (PNRR) e per l'efficienza della giustizia» che, al secondo periodo del comma 1 dell’articolo 7 prevede che «Con decreto del Presidente del Consiglio dei ministri, su proposta del Ministro dell'economia e delle finanze, si provvede alla individuazione delle amministrazioni di cui all'articolo 8, comma 1, del decreto-legge 31 maggio 2021, n. 77»;  </w:t>
      </w:r>
    </w:p>
    <w:p w14:paraId="4992C1D0"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Decreto-legge del 31 maggio 2021, n. 77, convertito nella legge 29 luglio 2021, n. 108, recante: «Governance del Piano nazionale di ripresa e resilienza e prime misure di rafforzamento delle strutture amministrative e di accelerazione e snellimento delle procedure»;  </w:t>
      </w:r>
    </w:p>
    <w:p w14:paraId="1E222793"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Decreto-Legge 30 aprile 2022, n. 36, convertito, con modificazioni, dalla legge 29 giugno 2022, n. 79, recante “Ulteriori misure urgenti per l’attuazione del Piano nazionale di ripresa e resilienza” e, in particolare, l’articolo 47;  </w:t>
      </w:r>
    </w:p>
    <w:p w14:paraId="1F54F22B"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Decreto-Legge 11 novembre 2022, n. 173, recante “Disposizioni urgenti in materia di riordino delle attribuzioni dei Ministeri”;  </w:t>
      </w:r>
    </w:p>
    <w:p w14:paraId="18DB2534"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w:t>
      </w:r>
      <w:proofErr w:type="spellStart"/>
      <w:r w:rsidRPr="00093B75">
        <w:rPr>
          <w:rFonts w:ascii="Times New Roman" w:eastAsia="Times New Roman" w:hAnsi="Times New Roman" w:cs="Times New Roman"/>
          <w:b w:val="0"/>
          <w:sz w:val="22"/>
          <w:szCs w:val="22"/>
          <w:bdr w:val="none" w:sz="0" w:space="0" w:color="auto"/>
        </w:rPr>
        <w:t>Euratom</w:t>
      </w:r>
      <w:proofErr w:type="spellEnd"/>
      <w:r w:rsidRPr="00093B75">
        <w:rPr>
          <w:rFonts w:ascii="Times New Roman" w:eastAsia="Times New Roman" w:hAnsi="Times New Roman" w:cs="Times New Roman"/>
          <w:b w:val="0"/>
          <w:sz w:val="22"/>
          <w:szCs w:val="22"/>
          <w:bdr w:val="none" w:sz="0" w:space="0" w:color="auto"/>
        </w:rPr>
        <w:t xml:space="preserve">) n. 966/2012;  </w:t>
      </w:r>
    </w:p>
    <w:p w14:paraId="2A2EFD9B"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  </w:t>
      </w:r>
    </w:p>
    <w:p w14:paraId="67C3E23F"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Regolamento (UE) 2021/241 del Parlamento europeo e del Consiglio, del 12 febbraio 2021 che istituisce il Dispositivo per la ripresa e per la resilienza;  </w:t>
      </w:r>
    </w:p>
    <w:p w14:paraId="7936DEF5" w14:textId="0C564AFA"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Piano nazionale di ripresa e resilienza (PNRR), la cui valutazione positiva è stata approvata con Decisione del Consiglio ECOFIN del 13 luglio 2021 e notificata all’Italia dal Segretariato generale del Consiglio con nota LT161/21, del 14 luglio 2021;  </w:t>
      </w:r>
    </w:p>
    <w:p w14:paraId="4914648D"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VISTI i principi trasversali previsti dal PNRR, quali, tra l’altro, il principio del contributo all’obiettivo climatico e digitale (c.d. tagging), il principio di parità di genere e l’obbligo di protezione e valorizzazione dei giovani;  </w:t>
      </w:r>
    </w:p>
    <w:p w14:paraId="2E623F54"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gli obblighi di assicurare il conseguimento di target e milestone e degli obiettivi finanziari stabiliti nel PNRR;  </w:t>
      </w:r>
    </w:p>
    <w:p w14:paraId="0A2445A5"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lastRenderedPageBreak/>
        <w:t xml:space="preserve">VISTO il Decreto del Presidente del Consiglio dei Ministri del 30 settembre 2020 n. 166, recante “Regolamento concernente l’organizzazione del Ministero dell’Istruzione”  </w:t>
      </w:r>
    </w:p>
    <w:p w14:paraId="2C909366"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Decreto del Ministro dell’istruzione 15 febbraio 2022, n. 31, con cui sono state assegnate le risorse finanziarie ai titolari dei centri di responsabilità amministrativa e, in particolare, l’articolo 7 e la tabella D), allegata allo stesso, relativa ai capitoli e ai piani gestionali, su cui insistono le risorse destinate agli interventi in essere previsti dal PNRR;  </w:t>
      </w:r>
    </w:p>
    <w:p w14:paraId="41737C55"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Decreto del Ministro dell’istruzione, di concerto con il Ministro dell’economia e delle finanze, 21 settembre 2021, n. 284, di istituzione di una Unità di missione di livello dirigenziale generale per l’attuazione degli interventi del Piano nazionale di ripresa e resilienza a titolarità del Ministero dell’istruzione;  </w:t>
      </w:r>
    </w:p>
    <w:p w14:paraId="06759F46"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Circolare del 14 ottobre 2021, n. 21 del Ministero dell’economia e delle finanze – Dipartimento della ragioneria generale dello Stato - Servizio centrale per il PNRR, recante «Trasmissione delle Istruzioni Tecniche per la selezione dei progetti PNRR»;  </w:t>
      </w:r>
    </w:p>
    <w:p w14:paraId="6FF4205F" w14:textId="658719A2"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le Linee guida per le Amministrazioni centrali titolari di interventi PNRR, approvate con la circolare del 29 ottobre 2021, n.25, recante “Rilevazione periodica avvisi, bandi e altre procedure di attivazione degli investimenti”, che riportano le modalità per assicurare la correttezza delle procedure di attuazione e rendicontazione, la regolarità della spesa e il conseguimento di target e milestone e di ogni altro adempimento previsto dalla normativa europea e nazionale applicabile al PNRR, a norma dell’articolo 8, comma 3, del decreto-legge 31 maggio 2021, n. 77, convertito, con modificazioni, dalla legge 29 luglio 2021, n. 108;  </w:t>
      </w:r>
    </w:p>
    <w:p w14:paraId="038ABFDF"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Regolamento UE 2020/852 e, in particolare, l’articolo 17 che definisce gli obiettivi ambientali, tra cui il principio di non arrecare un danno significativo (DNSH, “Do no </w:t>
      </w:r>
      <w:proofErr w:type="spellStart"/>
      <w:r w:rsidRPr="00093B75">
        <w:rPr>
          <w:rFonts w:ascii="Times New Roman" w:eastAsia="Times New Roman" w:hAnsi="Times New Roman" w:cs="Times New Roman"/>
          <w:b w:val="0"/>
          <w:sz w:val="22"/>
          <w:szCs w:val="22"/>
          <w:bdr w:val="none" w:sz="0" w:space="0" w:color="auto"/>
        </w:rPr>
        <w:t>significant</w:t>
      </w:r>
      <w:proofErr w:type="spellEnd"/>
      <w:r w:rsidRPr="00093B75">
        <w:rPr>
          <w:rFonts w:ascii="Times New Roman" w:eastAsia="Times New Roman" w:hAnsi="Times New Roman" w:cs="Times New Roman"/>
          <w:b w:val="0"/>
          <w:sz w:val="22"/>
          <w:szCs w:val="22"/>
          <w:bdr w:val="none" w:sz="0" w:space="0" w:color="auto"/>
        </w:rPr>
        <w:t xml:space="preserve"> </w:t>
      </w:r>
      <w:proofErr w:type="spellStart"/>
      <w:r w:rsidRPr="00093B75">
        <w:rPr>
          <w:rFonts w:ascii="Times New Roman" w:eastAsia="Times New Roman" w:hAnsi="Times New Roman" w:cs="Times New Roman"/>
          <w:b w:val="0"/>
          <w:sz w:val="22"/>
          <w:szCs w:val="22"/>
          <w:bdr w:val="none" w:sz="0" w:space="0" w:color="auto"/>
        </w:rPr>
        <w:t>harm</w:t>
      </w:r>
      <w:proofErr w:type="spellEnd"/>
      <w:r w:rsidRPr="00093B75">
        <w:rPr>
          <w:rFonts w:ascii="Times New Roman" w:eastAsia="Times New Roman" w:hAnsi="Times New Roman" w:cs="Times New Roman"/>
          <w:b w:val="0"/>
          <w:sz w:val="22"/>
          <w:szCs w:val="22"/>
          <w:bdr w:val="none" w:sz="0" w:space="0" w:color="auto"/>
        </w:rPr>
        <w:t xml:space="preserve">”), e la Comunicazione della Commissione UE 2021/C58/01, recante “Orientamenti tecnici sull’applicazione del principio «non arrecare un danno significativo» a norma del regolamento sul dispositivo per la ripresa e la resilienza”;  </w:t>
      </w:r>
    </w:p>
    <w:p w14:paraId="7CEF7C17"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circolare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 che impone all’Amministrazione titolare della misura di dimostrare se la stessa sia stata effettivamente realizzata senza arrecare un danno significativo agli obiettivi ambientali;  </w:t>
      </w:r>
    </w:p>
    <w:p w14:paraId="0A787366"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Guida operativa per il rispetto del principio di non arrecare danno significativo all’ambiente (cd. DNSH), edizione aggiornata allegata alla circolare RGS n. 33 del 13 ottobre 2022 e alla circolare RGS n. 22 del 14 maggio 2024;  </w:t>
      </w:r>
    </w:p>
    <w:p w14:paraId="49EFB90A"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Circolare del 10 febbraio 2022, n. 9, recante “Piano nazionale di ripresa e resilienza (PNRR) – Trasmissione delle Istruzioni tecniche per la redazione dei sistemi di gestione e controllo delle amministrazioni centrali titolari di interventi del PNRR”;  </w:t>
      </w:r>
    </w:p>
    <w:p w14:paraId="0C9A9C30"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Circolare del 29 aprile 2022, n. 21 del Ragioniere Generale dello Stato, recante “Piano nazionale di ripresa e resilienza (PNRR) e Piano nazionale per gli investimenti complementare – Chiarimenti in relazione al riferimento alla disciplina nazionale in materia di contratti pubblici richiamata nei dispositivi attuativi relativi agli interventi PNRR e PNC”;  </w:t>
      </w:r>
    </w:p>
    <w:p w14:paraId="226691F7"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Circolare del 21 giugno 2022, n. 27, del Ragioniere Generale dello Stato, recante “Piano nazionale di ripresa e resilienza (PNRR) – Monitoraggio delle misure PNRR”;  </w:t>
      </w:r>
    </w:p>
    <w:p w14:paraId="53FA70DE"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Circolare 11 agosto 2022, n. 30, del Ragioniere Generale dello Stato, recante “Linee Guida per lo svolgimento delle attività di controllo e rendicontazione delle Misure PNRR di competenza delle Amministrazioni centrali e dei Soggetti Attuatori”; </w:t>
      </w:r>
    </w:p>
    <w:p w14:paraId="49C8E112"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RITENUTO che il Dirigente Scolastico, dott.ssa Susanna Tessaro, risulta pienamente idoneo a ricoprire l’incarico di Responsabile del Procedimento in relazione alla procedura in oggetto, in quanto soddisfa i requisiti richiesti Legge n. 241/1990; </w:t>
      </w:r>
    </w:p>
    <w:p w14:paraId="3A6F4303"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l’art. 6-bis della citata Legge n. 241/1990, relativo all’obbligo di astensione dall’incarico del Responsabile del Procedimento in caso di conflitto di interessi e all’obbligo di segnalazione da parte dello stesso di ogni situazione di conflitto di interessi, anche potenziale, in relazione alla procedura in oggetto;  </w:t>
      </w:r>
    </w:p>
    <w:p w14:paraId="596A8AE7"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CONSIDERATO che il Responsabile del Procedimento individuato non versa in nessuna ipotesi di conflitto di interessi, anche potenziale, rispetto alla procedura di selezione in oggetto ed ha sottoscritto la dichiarazione di inesistenza di cause di conflitto di interessi ed obblighi di astensione;  </w:t>
      </w:r>
    </w:p>
    <w:p w14:paraId="675F9E53"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TENUTO CONTO delle funzioni e dei poteri del Dirigente Scolastico in materia negoziale, come definiti dall'articolo 25, comma 2, del Decreto Legislativo 30 marzo 2001, n. 165, dall’articolo 1, comma 78, della legge n. 107 del 2015 e dagli articoli 3 e 44 del citato D.I. 129/2018;  </w:t>
      </w:r>
    </w:p>
    <w:p w14:paraId="5A49D142"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lastRenderedPageBreak/>
        <w:t xml:space="preserve">RITENUTO che questa Istituzione scolastica provvederà ad individuare la figura richiesta prioritariamente tra il proprio personale in servizio, anche attraverso ricognizione del personale interno all’Istituzione stessa;  </w:t>
      </w:r>
    </w:p>
    <w:p w14:paraId="5CEDBB86"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CONSIDERATO che, ove non sia possibile procedere al conferimento dell’incarico in oggetto a favore del personale dipendente in servizio presso questa Amministrazione, si procederà con il conferimento dell’incarico a favore di personale esterno all’Amministrazione scolastica, secondo le modalità e nelle forme indicate nel presente documento;  </w:t>
      </w:r>
    </w:p>
    <w:p w14:paraId="41CCFB53"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VISTO</w:t>
      </w:r>
      <w:r w:rsidRPr="00093B75">
        <w:rPr>
          <w:rFonts w:ascii="Times New Roman" w:eastAsia="Times New Roman" w:hAnsi="Times New Roman" w:cs="Times New Roman"/>
          <w:b w:val="0"/>
          <w:sz w:val="22"/>
          <w:szCs w:val="22"/>
          <w:bdr w:val="none" w:sz="0" w:space="0" w:color="auto"/>
        </w:rPr>
        <w:tab/>
        <w:t xml:space="preserve"> il decreto del Ministro dell’istruzione del 2 febbraio 2024 prot. AOOGABMI 0000019, recante “Riparto delle risorse per la riduzione dei divari territoriali e il contrasto alla dispersione scolastica, in attuazione della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p>
    <w:p w14:paraId="6FD27E62"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VISTO</w:t>
      </w:r>
      <w:r w:rsidRPr="00093B75">
        <w:rPr>
          <w:rFonts w:ascii="Times New Roman" w:eastAsia="Times New Roman" w:hAnsi="Times New Roman" w:cs="Times New Roman"/>
          <w:b w:val="0"/>
          <w:sz w:val="22"/>
          <w:szCs w:val="22"/>
          <w:bdr w:val="none" w:sz="0" w:space="0" w:color="auto"/>
        </w:rPr>
        <w:tab/>
        <w:t>L’Allegato 2 - Decreto di riparto delle risorse per la riduzione dei divari territoriali e il contrasto alla dispersione scolastica, in attuazione della Missione 4 – Componente 1 – Investimento 1.4</w:t>
      </w:r>
    </w:p>
    <w:p w14:paraId="794770A1"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VISTO   l’atto di concessione prot. n.142426 del 12/10/2024, che costituisce formale autorizzazione all’avvio del progetto e contestuale autorizzazione alla spesa</w:t>
      </w:r>
    </w:p>
    <w:p w14:paraId="44B8DA95"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CONSIDERATO</w:t>
      </w:r>
      <w:r w:rsidRPr="00093B75">
        <w:rPr>
          <w:rFonts w:ascii="Times New Roman" w:eastAsia="Times New Roman" w:hAnsi="Times New Roman" w:cs="Times New Roman"/>
          <w:b w:val="0"/>
          <w:sz w:val="22"/>
          <w:szCs w:val="22"/>
          <w:bdr w:val="none" w:sz="0" w:space="0" w:color="auto"/>
        </w:rPr>
        <w:tab/>
        <w:t xml:space="preserve">l’attuazione del PNRR prevede, per l’attuazione della Missione 4 – Componente 1 – Investimento 1.4 “Intervento straordinario finalizzato alla riduzione dei divari territoriali nelle scuole secondarie di primo e di secondo grado e alla lotta alla dispersione scolastica” l’individuazione del Ministero dell’istruzione e del merito quale Amministrazione titolare  </w:t>
      </w:r>
    </w:p>
    <w:p w14:paraId="02A656FB"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CONSIDERATO</w:t>
      </w:r>
      <w:r w:rsidRPr="00093B75">
        <w:rPr>
          <w:rFonts w:ascii="Times New Roman" w:eastAsia="Times New Roman" w:hAnsi="Times New Roman" w:cs="Times New Roman"/>
          <w:b w:val="0"/>
          <w:sz w:val="22"/>
          <w:szCs w:val="22"/>
          <w:bdr w:val="none" w:sz="0" w:space="0" w:color="auto"/>
        </w:rPr>
        <w:tab/>
        <w:t>che per l’attuazione della Missione 4 – Componente 1 – Investimento 1.4 è stato adottato il decreto del Ministro dell’istruzione del 2 febbraio 2024 prot. AOOGABMI 0000019, recante “Riparto delle risorse per la riduzione dei divari territoriali e il contrasto alla dispersione scolastica, in attuazione della Missione 4</w:t>
      </w:r>
    </w:p>
    <w:p w14:paraId="42638E49"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Nota MI n. 58542 del 17/04/2024, recante le Istruzioni Operative per la realizzazione degli “Interventi di tutoraggio e di formazione per la riduzione dei divari negli apprendimenti e il contrasto alla dispersione scolastica” di cui al citato D.M. 19/2024; </w:t>
      </w:r>
    </w:p>
    <w:p w14:paraId="00565BB8"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VISTA la delibera n. 9 del 2/10/2024 del collegio docenti;</w:t>
      </w:r>
    </w:p>
    <w:p w14:paraId="0C095A1E"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Piano Triennale dell’Offerta Formativa (PTOF); </w:t>
      </w:r>
    </w:p>
    <w:p w14:paraId="00EE9BA4"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Programma Annuale 2025 approvato in data 10/01/2025 con delibera del CDI n. 1; </w:t>
      </w:r>
    </w:p>
    <w:p w14:paraId="5CD58E56"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delibera n. 6 di data 14/01/2025 del Consiglio d’Istituto di adesione al Progetto; </w:t>
      </w:r>
    </w:p>
    <w:p w14:paraId="4A01B6E6"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QUADERNO N. 3 del Ministero dell’Istruzione, del novembre 2020, recante Istruzioni per il conferimento di incarichi individuali;  </w:t>
      </w:r>
    </w:p>
    <w:p w14:paraId="3ED2759D"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PRESO ATTO della necessità di procedere tempestivamente al conferimento dell’incarico in oggetto </w:t>
      </w:r>
    </w:p>
    <w:p w14:paraId="2AF6DCA1"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PRESO ATTO che il Dirigente Scolastico Susanna Tessaro è stato nominato Responsabile del Procedimento, ai sensi dell'art. 5 della Legge n. 241/1990; </w:t>
      </w:r>
    </w:p>
    <w:p w14:paraId="5B7AE919"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PRESO ATTO che la linea di finanziamento che interessa questa scuola è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 </w:t>
      </w:r>
    </w:p>
    <w:p w14:paraId="59124479" w14:textId="585133C3" w:rsidR="00990D88" w:rsidRPr="00093B75" w:rsidRDefault="00990D88" w:rsidP="00146B5C">
      <w:pPr>
        <w:jc w:val="both"/>
        <w:rPr>
          <w:rFonts w:ascii="Times New Roman" w:eastAsia="Times New Roman" w:hAnsi="Times New Roman" w:cs="Times New Roman"/>
          <w:sz w:val="22"/>
          <w:szCs w:val="22"/>
          <w:bdr w:val="none" w:sz="0" w:space="0" w:color="auto"/>
        </w:rPr>
      </w:pPr>
      <w:r w:rsidRPr="00093B75">
        <w:rPr>
          <w:rFonts w:ascii="Times New Roman" w:eastAsia="Times New Roman" w:hAnsi="Times New Roman" w:cs="Times New Roman"/>
          <w:b w:val="0"/>
          <w:sz w:val="22"/>
          <w:szCs w:val="22"/>
          <w:bdr w:val="none" w:sz="0" w:space="0" w:color="auto"/>
        </w:rPr>
        <w:t>VISTO   l’atto di concessione prot. n.142426 del 12/10/2024, che costituisce formale autorizzazione all’avvio del progetto e contestuale autorizzazione alla spesa e che</w:t>
      </w:r>
      <w:r w:rsidR="00342C10" w:rsidRPr="00093B75">
        <w:rPr>
          <w:rFonts w:ascii="Times New Roman" w:eastAsia="Times New Roman" w:hAnsi="Times New Roman" w:cs="Times New Roman"/>
          <w:b w:val="0"/>
          <w:sz w:val="22"/>
          <w:szCs w:val="22"/>
          <w:bdr w:val="none" w:sz="0" w:space="0" w:color="auto"/>
        </w:rPr>
        <w:t xml:space="preserve"> disciplina i rapporti tra le Parti per la realizzazione del progetto </w:t>
      </w:r>
      <w:r w:rsidRPr="00093B75">
        <w:rPr>
          <w:rFonts w:ascii="Times New Roman" w:eastAsia="Times New Roman" w:hAnsi="Times New Roman" w:cs="Times New Roman"/>
          <w:sz w:val="22"/>
          <w:szCs w:val="22"/>
          <w:bdr w:val="none" w:sz="0" w:space="0" w:color="auto"/>
        </w:rPr>
        <w:t>Codice identificativo del progetto: M4C1I1.4-2024- 1322P-46630</w:t>
      </w:r>
      <w:r w:rsidR="00146B5C" w:rsidRPr="00093B75">
        <w:rPr>
          <w:rFonts w:ascii="Times New Roman" w:eastAsia="Times New Roman" w:hAnsi="Times New Roman" w:cs="Times New Roman"/>
          <w:sz w:val="22"/>
          <w:szCs w:val="22"/>
          <w:bdr w:val="none" w:sz="0" w:space="0" w:color="auto"/>
        </w:rPr>
        <w:t xml:space="preserve"> </w:t>
      </w:r>
      <w:r w:rsidRPr="00093B75">
        <w:rPr>
          <w:rFonts w:ascii="Times New Roman" w:eastAsia="Times New Roman" w:hAnsi="Times New Roman" w:cs="Times New Roman"/>
          <w:sz w:val="22"/>
          <w:szCs w:val="22"/>
          <w:bdr w:val="none" w:sz="0" w:space="0" w:color="auto"/>
        </w:rPr>
        <w:t>ASCENSORE SCUOLA</w:t>
      </w:r>
      <w:r w:rsidR="00146B5C" w:rsidRPr="00093B75">
        <w:rPr>
          <w:rFonts w:ascii="Times New Roman" w:eastAsia="Times New Roman" w:hAnsi="Times New Roman" w:cs="Times New Roman"/>
          <w:sz w:val="22"/>
          <w:szCs w:val="22"/>
          <w:bdr w:val="none" w:sz="0" w:space="0" w:color="auto"/>
        </w:rPr>
        <w:t xml:space="preserve"> </w:t>
      </w:r>
      <w:r w:rsidRPr="00093B75">
        <w:rPr>
          <w:rFonts w:ascii="Times New Roman" w:eastAsia="Times New Roman" w:hAnsi="Times New Roman" w:cs="Times New Roman"/>
          <w:sz w:val="22"/>
          <w:szCs w:val="22"/>
          <w:bdr w:val="none" w:sz="0" w:space="0" w:color="auto"/>
        </w:rPr>
        <w:t xml:space="preserve">per € 215.827,99 </w:t>
      </w:r>
    </w:p>
    <w:p w14:paraId="443181FC"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il proprio decreto di assunzione a bilancio del finanziamento assegnato prot. n. 4295 del 26/11/2024 </w:t>
      </w:r>
    </w:p>
    <w:p w14:paraId="5466CAF7" w14:textId="77777777" w:rsidR="00990D88" w:rsidRPr="00093B75"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propria azione di diffusione, comunicazione, sensibilizzazione e pubblicizzazione del progetto, prot. 146 del 15/01/2025;  </w:t>
      </w:r>
    </w:p>
    <w:p w14:paraId="27288C4F"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RITENUTO che questa Istituzione scolastica provvederà ad individuare la figura richiesta prioritariamente tra il proprio personale in servizio, anche attraverso ricognizione del personale interno all’Istituzione stessa;  </w:t>
      </w:r>
    </w:p>
    <w:p w14:paraId="599B8C2A"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CONSIDERATO che, ove non sia possibile procedere al conferimento dell’incarico in oggetto a favore del personale dipendente in servizio presso questa Amministrazione, si procederà con il conferimento dell’incarico a favore di personale esterno all’Amministrazione scolastica, secondo le modalità e nelle forme indicate nel presente documento; </w:t>
      </w:r>
    </w:p>
    <w:p w14:paraId="6D4DB5C5"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lastRenderedPageBreak/>
        <w:t xml:space="preserve">VISTA la Nota MI n. 58542 del 17/04/2024, recante le Istruzioni Operative per la realizzazione degli “Interventi di tutoraggio e di formazione per la riduzione dei divari negli apprendimenti e il contrasto alla dispersione scolastica” di cui al citato D.M. 19/2024;  </w:t>
      </w:r>
    </w:p>
    <w:p w14:paraId="59433948" w14:textId="0E15D738"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che questa Istituzione Scolastica è stata autorizzata ad attuare le Azioni per la riduzione dei divari territoriali e il contrasto alla dispersione scolastica, in attuazione della linea di investimento 1.4 nell’ambito della Missione 4 - Componente 1 - del PNRR, con il progetto “Intervento straordinario finalizzato alla riduzione dei divari territoriali nelle scuole secondarie di primo e di secondo grado e alla lotta alla dispersione scolastica”, per un importo pari a </w:t>
      </w:r>
      <w:r w:rsidR="00990D88" w:rsidRPr="00093B75">
        <w:rPr>
          <w:rFonts w:ascii="Times New Roman" w:eastAsia="Times New Roman" w:hAnsi="Times New Roman" w:cs="Times New Roman"/>
          <w:sz w:val="22"/>
          <w:szCs w:val="22"/>
          <w:bdr w:val="none" w:sz="0" w:space="0" w:color="auto"/>
        </w:rPr>
        <w:t>€ 215.827,99</w:t>
      </w:r>
      <w:r w:rsidRPr="00093B75">
        <w:rPr>
          <w:rFonts w:ascii="Times New Roman" w:eastAsia="Times New Roman" w:hAnsi="Times New Roman" w:cs="Times New Roman"/>
          <w:b w:val="0"/>
          <w:sz w:val="22"/>
          <w:szCs w:val="22"/>
          <w:bdr w:val="none" w:sz="0" w:space="0" w:color="auto"/>
        </w:rPr>
        <w:t xml:space="preserve">; </w:t>
      </w:r>
    </w:p>
    <w:p w14:paraId="02F95C99"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RILEVATA la necessità di individuare, prioritariamente tra il personale interno, una figura professionale per lo svolgimento dell’attività di Docente Esperto per la realizzazione dei Percorsi educativi e formativi rientranti nell’ambito delle Azioni di cui all’Avviso pubblico in oggetto;  </w:t>
      </w:r>
    </w:p>
    <w:p w14:paraId="3361FA1A"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EFFETTUATA una valutazione di opportunità affinché non si verifichino conflitti di interesse e/o relazionali con colleghi, studenti e famiglie, tenuto conto altresì dell'autonomia professionale richiesta nell'espletamento delle loro attività (art. 26, CCNL 2006-2009 - Comparto scuola);  </w:t>
      </w:r>
    </w:p>
    <w:p w14:paraId="50C48AD8"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Circolare della Funzione Pubblica n. 2/2008;  </w:t>
      </w:r>
    </w:p>
    <w:p w14:paraId="1F0F5152"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in particolare l’art. 43 del citato decreto Interministeriale n. 129 del 28 agosto 2018 che consente all’istituzione scolastica la stipula di contratti di prestazione d’opera con esperti per particolari attività ed insegnamenti, al fine di garantire l’arricchimento dell’offerta formativa nonché la realizzazione di specifici programmi di ricerca e sperimentazione;  </w:t>
      </w:r>
    </w:p>
    <w:p w14:paraId="29AF69E4"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VISTO che ai sensi dell’art. 45 del D.I. 129/2018, l’istituzione scolastica può stipulare contratti di prestazione d’opera con esperti interni ed esterni al fine di garantire l’arricchimento dell’offerta formativa, nonché la realizzazione di specifici programmi di ricerca e di sperimentazione;  </w:t>
      </w:r>
    </w:p>
    <w:p w14:paraId="497E2505" w14:textId="77777777" w:rsidR="00342C10" w:rsidRPr="00093B75"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2"/>
          <w:szCs w:val="22"/>
          <w:bdr w:val="none" w:sz="0" w:space="0" w:color="auto"/>
        </w:rPr>
      </w:pPr>
      <w:r w:rsidRPr="00093B75">
        <w:rPr>
          <w:rFonts w:ascii="Times New Roman" w:eastAsia="Times New Roman" w:hAnsi="Times New Roman" w:cs="Times New Roman"/>
          <w:b w:val="0"/>
          <w:sz w:val="22"/>
          <w:szCs w:val="22"/>
          <w:bdr w:val="none" w:sz="0" w:space="0" w:color="auto"/>
        </w:rPr>
        <w:t xml:space="preserve">VISTA la Circolare n. 2 del 2 febbraio 2009 del Ministero del Lavoro che regolamenta i compensi, gli aspetti fiscali e contributivi per gli incarichi ed impieghi nella P.A.;  </w:t>
      </w:r>
    </w:p>
    <w:p w14:paraId="1B63E466" w14:textId="77777777" w:rsidR="004C631B" w:rsidRPr="00E34462"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E34462">
        <w:rPr>
          <w:rFonts w:ascii="Times New Roman" w:eastAsia="Times New Roman" w:hAnsi="Times New Roman" w:cs="Times New Roman"/>
          <w:b w:val="0"/>
          <w:sz w:val="24"/>
          <w:szCs w:val="24"/>
          <w:bdr w:val="none" w:sz="0" w:space="0" w:color="auto"/>
        </w:rPr>
        <w:t xml:space="preserve">VISTO il CCNL del 18 gennaio 2024, recante il “Contratto Collettivo Nazionale di Lavoro del personale del comparto “Istruzione e Ricerca” Periodo 2019-2021”;  </w:t>
      </w:r>
    </w:p>
    <w:p w14:paraId="7A390EC5" w14:textId="77777777" w:rsidR="004C631B" w:rsidRPr="00E34462" w:rsidRDefault="004C631B"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p>
    <w:p w14:paraId="075F1ED1" w14:textId="67527135" w:rsidR="00342C10" w:rsidRPr="00E34462" w:rsidRDefault="00342C10" w:rsidP="00146B5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center"/>
        <w:rPr>
          <w:rFonts w:ascii="Times New Roman" w:eastAsia="Times New Roman" w:hAnsi="Times New Roman" w:cs="Times New Roman"/>
          <w:b w:val="0"/>
          <w:sz w:val="24"/>
          <w:szCs w:val="24"/>
          <w:bdr w:val="none" w:sz="0" w:space="0" w:color="auto"/>
        </w:rPr>
      </w:pPr>
      <w:r w:rsidRPr="00E34462">
        <w:rPr>
          <w:rFonts w:ascii="Times New Roman" w:eastAsia="Times New Roman" w:hAnsi="Times New Roman" w:cs="Times New Roman"/>
          <w:b w:val="0"/>
          <w:sz w:val="24"/>
          <w:szCs w:val="24"/>
          <w:bdr w:val="none" w:sz="0" w:space="0" w:color="auto"/>
        </w:rPr>
        <w:t>tutto ciò visto e rilevato, che costituisce parte integrante del presente provvedimento,</w:t>
      </w:r>
    </w:p>
    <w:p w14:paraId="60CDFCA8" w14:textId="77777777" w:rsidR="00146B5C" w:rsidRPr="00E34462" w:rsidRDefault="00146B5C" w:rsidP="00146B5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center"/>
        <w:rPr>
          <w:rFonts w:ascii="Times New Roman" w:eastAsia="Times New Roman" w:hAnsi="Times New Roman" w:cs="Times New Roman"/>
          <w:b w:val="0"/>
          <w:sz w:val="24"/>
          <w:szCs w:val="24"/>
          <w:bdr w:val="none" w:sz="0" w:space="0" w:color="auto"/>
        </w:rPr>
      </w:pPr>
    </w:p>
    <w:p w14:paraId="05A52BF4" w14:textId="5962A347" w:rsidR="004C631B" w:rsidRPr="00E34462" w:rsidRDefault="004C631B" w:rsidP="00146B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hAnsi="Times New Roman" w:cs="Times New Roman"/>
          <w:sz w:val="24"/>
          <w:szCs w:val="24"/>
        </w:rPr>
      </w:pPr>
      <w:r w:rsidRPr="00E34462">
        <w:rPr>
          <w:rFonts w:ascii="Times New Roman" w:hAnsi="Times New Roman" w:cs="Times New Roman"/>
          <w:sz w:val="24"/>
          <w:szCs w:val="24"/>
        </w:rPr>
        <w:t>DECRETA</w:t>
      </w:r>
    </w:p>
    <w:p w14:paraId="381ECA5D" w14:textId="77777777" w:rsidR="00146B5C" w:rsidRPr="00E34462" w:rsidRDefault="00146B5C" w:rsidP="00146B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hAnsi="Times New Roman" w:cs="Times New Roman"/>
          <w:sz w:val="24"/>
          <w:szCs w:val="24"/>
        </w:rPr>
      </w:pPr>
    </w:p>
    <w:p w14:paraId="2C93E91D" w14:textId="130F7CA2" w:rsidR="004C631B" w:rsidRPr="00E34462" w:rsidRDefault="004C631B" w:rsidP="004C63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b w:val="0"/>
          <w:bCs w:val="0"/>
          <w:sz w:val="24"/>
          <w:szCs w:val="24"/>
        </w:rPr>
      </w:pPr>
      <w:r w:rsidRPr="00E34462">
        <w:rPr>
          <w:rFonts w:ascii="Times New Roman" w:hAnsi="Times New Roman" w:cs="Times New Roman"/>
          <w:b w:val="0"/>
          <w:bCs w:val="0"/>
          <w:sz w:val="24"/>
          <w:szCs w:val="24"/>
        </w:rPr>
        <w:t>Per i motivi espressi nella premessa, che si intendono integralmente richiamati:</w:t>
      </w:r>
    </w:p>
    <w:p w14:paraId="1F6BAC1B" w14:textId="34BDAAF9"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bCs w:val="0"/>
          <w:sz w:val="24"/>
          <w:szCs w:val="24"/>
          <w:bdr w:val="none" w:sz="0" w:space="0" w:color="auto"/>
        </w:rPr>
      </w:pPr>
    </w:p>
    <w:p w14:paraId="4663A5C6" w14:textId="6D76EDAD" w:rsidR="00093B75" w:rsidRPr="00E34462" w:rsidRDefault="00093B75" w:rsidP="00E34462">
      <w:pPr>
        <w:pStyle w:val="Paragrafoelenco"/>
        <w:numPr>
          <w:ilvl w:val="0"/>
          <w:numId w:val="33"/>
        </w:numPr>
        <w:spacing w:after="140"/>
        <w:ind w:left="142" w:firstLine="0"/>
        <w:jc w:val="both"/>
        <w:rPr>
          <w:rFonts w:ascii="Times New Roman" w:hAnsi="Times New Roman" w:cs="Times New Roman"/>
          <w:sz w:val="24"/>
          <w:szCs w:val="24"/>
        </w:rPr>
      </w:pPr>
      <w:r w:rsidRPr="00E34462">
        <w:rPr>
          <w:rFonts w:ascii="Times New Roman" w:eastAsia="Times New Roman" w:hAnsi="Times New Roman" w:cs="Times New Roman"/>
          <w:b w:val="0"/>
          <w:bCs w:val="0"/>
          <w:sz w:val="24"/>
          <w:szCs w:val="24"/>
          <w:bdr w:val="none" w:sz="0" w:space="0" w:color="auto"/>
        </w:rPr>
        <w:t xml:space="preserve">di autorizzare l’avvio di una selezione interna volta al conferimento di incarichi individuali </w:t>
      </w:r>
      <w:bookmarkStart w:id="2" w:name="_Hlk191501287"/>
      <w:r w:rsidRPr="00E34462">
        <w:rPr>
          <w:rFonts w:ascii="Times New Roman" w:eastAsia="Times New Roman" w:hAnsi="Times New Roman" w:cs="Times New Roman"/>
          <w:b w:val="0"/>
          <w:bCs w:val="0"/>
          <w:sz w:val="24"/>
          <w:szCs w:val="24"/>
          <w:bdr w:val="none" w:sz="0" w:space="0" w:color="auto"/>
        </w:rPr>
        <w:t xml:space="preserve">per la realizzazione di n. </w:t>
      </w:r>
      <w:r w:rsidRPr="00E34462">
        <w:rPr>
          <w:rFonts w:ascii="Times New Roman" w:eastAsia="Times New Roman" w:hAnsi="Times New Roman" w:cs="Times New Roman"/>
          <w:sz w:val="24"/>
          <w:szCs w:val="24"/>
          <w:bdr w:val="none" w:sz="0" w:space="0" w:color="auto"/>
        </w:rPr>
        <w:t>66</w:t>
      </w:r>
      <w:r w:rsidRPr="00E34462">
        <w:rPr>
          <w:rFonts w:ascii="Times New Roman" w:eastAsia="Times New Roman" w:hAnsi="Times New Roman" w:cs="Times New Roman"/>
          <w:sz w:val="24"/>
          <w:szCs w:val="24"/>
          <w:bdr w:val="none" w:sz="0" w:space="0" w:color="auto"/>
        </w:rPr>
        <w:t xml:space="preserve"> Percorsi di </w:t>
      </w:r>
      <w:r w:rsidRPr="00E34462">
        <w:rPr>
          <w:rFonts w:ascii="Times New Roman" w:eastAsia="Times New Roman" w:hAnsi="Times New Roman" w:cs="Times New Roman"/>
          <w:sz w:val="24"/>
          <w:szCs w:val="24"/>
          <w:bdr w:val="none" w:sz="0" w:space="0" w:color="auto"/>
        </w:rPr>
        <w:t>Tutoraggio</w:t>
      </w:r>
      <w:r w:rsidRPr="00E34462">
        <w:rPr>
          <w:rFonts w:ascii="Times New Roman" w:eastAsia="Times New Roman" w:hAnsi="Times New Roman" w:cs="Times New Roman"/>
          <w:sz w:val="24"/>
          <w:szCs w:val="24"/>
          <w:bdr w:val="none" w:sz="0" w:space="0" w:color="auto"/>
        </w:rPr>
        <w:t xml:space="preserve"> e Orientamento</w:t>
      </w:r>
      <w:r w:rsidRPr="00E34462">
        <w:rPr>
          <w:rFonts w:ascii="Times New Roman" w:eastAsia="Times New Roman" w:hAnsi="Times New Roman" w:cs="Times New Roman"/>
          <w:sz w:val="24"/>
          <w:szCs w:val="24"/>
          <w:bdr w:val="none" w:sz="0" w:space="0" w:color="auto"/>
        </w:rPr>
        <w:t xml:space="preserve"> di gruppo</w:t>
      </w:r>
      <w:bookmarkEnd w:id="2"/>
      <w:r w:rsidRPr="00E34462">
        <w:rPr>
          <w:rFonts w:ascii="Times New Roman" w:eastAsia="Times New Roman" w:hAnsi="Times New Roman" w:cs="Times New Roman"/>
          <w:b w:val="0"/>
          <w:bCs w:val="0"/>
          <w:sz w:val="24"/>
          <w:szCs w:val="24"/>
          <w:bdr w:val="none" w:sz="0" w:space="0" w:color="auto"/>
        </w:rPr>
        <w:t xml:space="preserve">, rientranti nell’ambito delle Azioni per la riduzione dei divari territoriali e il contrasto alla dispersione scolastica di cui al Decreto del Ministero dell’Istruzione del 2 febbraio 2024, n. 19. in oggetto, per un importo pari a € </w:t>
      </w:r>
      <w:r w:rsidRPr="00E34462">
        <w:rPr>
          <w:rFonts w:ascii="Times New Roman" w:eastAsia="Times New Roman" w:hAnsi="Times New Roman" w:cs="Times New Roman"/>
          <w:b w:val="0"/>
          <w:bCs w:val="0"/>
          <w:sz w:val="24"/>
          <w:szCs w:val="24"/>
          <w:bdr w:val="none" w:sz="0" w:space="0" w:color="auto"/>
        </w:rPr>
        <w:t xml:space="preserve">15642,00 </w:t>
      </w:r>
      <w:r w:rsidRPr="00E34462">
        <w:rPr>
          <w:rFonts w:ascii="Times New Roman" w:eastAsia="Times New Roman" w:hAnsi="Times New Roman" w:cs="Times New Roman"/>
          <w:b w:val="0"/>
          <w:bCs w:val="0"/>
          <w:sz w:val="24"/>
          <w:szCs w:val="24"/>
          <w:bdr w:val="none" w:sz="0" w:space="0" w:color="auto"/>
        </w:rPr>
        <w:t>lordo stato, commisurato all’attività effettivamente svolta e rendicontata dal soggetto selezionato, fermo restando in ogni caso il raggiungimento dei target e milestone come indicati nel Progetto</w:t>
      </w:r>
    </w:p>
    <w:tbl>
      <w:tblPr>
        <w:tblStyle w:val="TableGrid"/>
        <w:tblW w:w="9519" w:type="dxa"/>
        <w:tblInd w:w="216" w:type="dxa"/>
        <w:tblCellMar>
          <w:top w:w="155" w:type="dxa"/>
          <w:left w:w="106" w:type="dxa"/>
          <w:bottom w:w="3" w:type="dxa"/>
          <w:right w:w="55" w:type="dxa"/>
        </w:tblCellMar>
        <w:tblLook w:val="04A0" w:firstRow="1" w:lastRow="0" w:firstColumn="1" w:lastColumn="0" w:noHBand="0" w:noVBand="1"/>
      </w:tblPr>
      <w:tblGrid>
        <w:gridCol w:w="1777"/>
        <w:gridCol w:w="1381"/>
        <w:gridCol w:w="1586"/>
        <w:gridCol w:w="1581"/>
        <w:gridCol w:w="1592"/>
        <w:gridCol w:w="1602"/>
      </w:tblGrid>
      <w:tr w:rsidR="00093B75" w:rsidRPr="00E34462" w14:paraId="169D53CA" w14:textId="77777777" w:rsidTr="00E34462">
        <w:trPr>
          <w:trHeight w:val="464"/>
        </w:trPr>
        <w:tc>
          <w:tcPr>
            <w:tcW w:w="1777" w:type="dxa"/>
            <w:tcBorders>
              <w:top w:val="single" w:sz="4" w:space="0" w:color="000000"/>
              <w:left w:val="single" w:sz="4" w:space="0" w:color="000000"/>
              <w:bottom w:val="single" w:sz="4" w:space="0" w:color="000000"/>
              <w:right w:val="single" w:sz="4" w:space="0" w:color="000000"/>
            </w:tcBorders>
          </w:tcPr>
          <w:p w14:paraId="77B99440"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 xml:space="preserve">Figure richieste </w:t>
            </w:r>
          </w:p>
        </w:tc>
        <w:tc>
          <w:tcPr>
            <w:tcW w:w="1381" w:type="dxa"/>
            <w:tcBorders>
              <w:top w:val="single" w:sz="4" w:space="0" w:color="000000"/>
              <w:left w:val="single" w:sz="4" w:space="0" w:color="000000"/>
              <w:bottom w:val="single" w:sz="4" w:space="0" w:color="000000"/>
              <w:right w:val="single" w:sz="4" w:space="0" w:color="000000"/>
            </w:tcBorders>
          </w:tcPr>
          <w:p w14:paraId="25794A5F"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 xml:space="preserve">N. percorsi da attivare </w:t>
            </w:r>
          </w:p>
        </w:tc>
        <w:tc>
          <w:tcPr>
            <w:tcW w:w="1586" w:type="dxa"/>
            <w:tcBorders>
              <w:top w:val="single" w:sz="4" w:space="0" w:color="000000"/>
              <w:left w:val="single" w:sz="4" w:space="0" w:color="000000"/>
              <w:bottom w:val="single" w:sz="4" w:space="0" w:color="000000"/>
              <w:right w:val="single" w:sz="4" w:space="0" w:color="000000"/>
            </w:tcBorders>
          </w:tcPr>
          <w:p w14:paraId="3926E060"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 xml:space="preserve">N. studenti coinvolti per percorso </w:t>
            </w:r>
          </w:p>
        </w:tc>
        <w:tc>
          <w:tcPr>
            <w:tcW w:w="1581" w:type="dxa"/>
            <w:tcBorders>
              <w:top w:val="single" w:sz="4" w:space="0" w:color="000000"/>
              <w:left w:val="single" w:sz="4" w:space="0" w:color="000000"/>
              <w:bottom w:val="single" w:sz="4" w:space="0" w:color="000000"/>
              <w:right w:val="single" w:sz="4" w:space="0" w:color="000000"/>
            </w:tcBorders>
          </w:tcPr>
          <w:p w14:paraId="237A8FC1" w14:textId="77777777" w:rsidR="00093B75" w:rsidRPr="00E34462" w:rsidRDefault="00093B75" w:rsidP="00E34462">
            <w:pPr>
              <w:spacing w:line="244" w:lineRule="auto"/>
              <w:rPr>
                <w:rFonts w:ascii="Times New Roman" w:hAnsi="Times New Roman" w:cs="Times New Roman"/>
                <w:sz w:val="24"/>
                <w:szCs w:val="24"/>
              </w:rPr>
            </w:pPr>
            <w:r w:rsidRPr="00E34462">
              <w:rPr>
                <w:rFonts w:ascii="Times New Roman" w:hAnsi="Times New Roman" w:cs="Times New Roman"/>
                <w:sz w:val="24"/>
                <w:szCs w:val="24"/>
              </w:rPr>
              <w:t xml:space="preserve">N. ore per ogni percorso da </w:t>
            </w:r>
          </w:p>
          <w:p w14:paraId="2FE9A087"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 xml:space="preserve">attivare </w:t>
            </w:r>
          </w:p>
        </w:tc>
        <w:tc>
          <w:tcPr>
            <w:tcW w:w="1592" w:type="dxa"/>
            <w:tcBorders>
              <w:top w:val="single" w:sz="4" w:space="0" w:color="000000"/>
              <w:left w:val="single" w:sz="4" w:space="0" w:color="000000"/>
              <w:bottom w:val="single" w:sz="4" w:space="0" w:color="000000"/>
              <w:right w:val="single" w:sz="4" w:space="0" w:color="000000"/>
            </w:tcBorders>
            <w:vAlign w:val="bottom"/>
          </w:tcPr>
          <w:p w14:paraId="30C02479"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 xml:space="preserve">Compenso </w:t>
            </w:r>
          </w:p>
          <w:p w14:paraId="56441018" w14:textId="77777777" w:rsidR="00093B75" w:rsidRPr="00E34462" w:rsidRDefault="00093B75" w:rsidP="00E34462">
            <w:pPr>
              <w:spacing w:after="2" w:line="237" w:lineRule="auto"/>
              <w:rPr>
                <w:rFonts w:ascii="Times New Roman" w:hAnsi="Times New Roman" w:cs="Times New Roman"/>
                <w:sz w:val="24"/>
                <w:szCs w:val="24"/>
              </w:rPr>
            </w:pPr>
            <w:r w:rsidRPr="00E34462">
              <w:rPr>
                <w:rFonts w:ascii="Times New Roman" w:hAnsi="Times New Roman" w:cs="Times New Roman"/>
                <w:sz w:val="24"/>
                <w:szCs w:val="24"/>
              </w:rPr>
              <w:t xml:space="preserve">orario previsto per docente per ogni </w:t>
            </w:r>
          </w:p>
          <w:p w14:paraId="0C2A5644"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 xml:space="preserve">percorso </w:t>
            </w:r>
          </w:p>
        </w:tc>
        <w:tc>
          <w:tcPr>
            <w:tcW w:w="1602" w:type="dxa"/>
            <w:tcBorders>
              <w:top w:val="single" w:sz="4" w:space="0" w:color="000000"/>
              <w:left w:val="single" w:sz="4" w:space="0" w:color="000000"/>
              <w:bottom w:val="single" w:sz="4" w:space="0" w:color="000000"/>
              <w:right w:val="single" w:sz="4" w:space="0" w:color="000000"/>
            </w:tcBorders>
            <w:vAlign w:val="bottom"/>
          </w:tcPr>
          <w:p w14:paraId="4F3C379C"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 xml:space="preserve">Compenso </w:t>
            </w:r>
          </w:p>
          <w:p w14:paraId="542E2B65" w14:textId="77777777" w:rsidR="00093B75" w:rsidRPr="00E34462" w:rsidRDefault="00093B75" w:rsidP="00E34462">
            <w:pPr>
              <w:spacing w:after="5" w:line="235" w:lineRule="auto"/>
              <w:rPr>
                <w:rFonts w:ascii="Times New Roman" w:hAnsi="Times New Roman" w:cs="Times New Roman"/>
                <w:sz w:val="24"/>
                <w:szCs w:val="24"/>
              </w:rPr>
            </w:pPr>
            <w:r w:rsidRPr="00E34462">
              <w:rPr>
                <w:rFonts w:ascii="Times New Roman" w:hAnsi="Times New Roman" w:cs="Times New Roman"/>
                <w:sz w:val="24"/>
                <w:szCs w:val="24"/>
              </w:rPr>
              <w:t xml:space="preserve">orario complessivi </w:t>
            </w:r>
          </w:p>
          <w:p w14:paraId="0A43A5B9" w14:textId="77777777" w:rsidR="00093B75" w:rsidRPr="00E34462" w:rsidRDefault="00093B75" w:rsidP="00E34462">
            <w:pPr>
              <w:tabs>
                <w:tab w:val="right" w:pos="1423"/>
              </w:tabs>
              <w:spacing w:line="259" w:lineRule="auto"/>
              <w:rPr>
                <w:rFonts w:ascii="Times New Roman" w:hAnsi="Times New Roman" w:cs="Times New Roman"/>
                <w:sz w:val="24"/>
                <w:szCs w:val="24"/>
              </w:rPr>
            </w:pPr>
            <w:r w:rsidRPr="00E34462">
              <w:rPr>
                <w:rFonts w:ascii="Times New Roman" w:hAnsi="Times New Roman" w:cs="Times New Roman"/>
                <w:sz w:val="24"/>
                <w:szCs w:val="24"/>
              </w:rPr>
              <w:t xml:space="preserve">percorsi </w:t>
            </w:r>
            <w:r w:rsidRPr="00E34462">
              <w:rPr>
                <w:rFonts w:ascii="Times New Roman" w:hAnsi="Times New Roman" w:cs="Times New Roman"/>
                <w:sz w:val="24"/>
                <w:szCs w:val="24"/>
              </w:rPr>
              <w:tab/>
              <w:t xml:space="preserve">da </w:t>
            </w:r>
          </w:p>
          <w:p w14:paraId="6039707D"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 xml:space="preserve">attivare </w:t>
            </w:r>
          </w:p>
        </w:tc>
      </w:tr>
      <w:tr w:rsidR="00093B75" w:rsidRPr="00E34462" w14:paraId="7F16A6CF" w14:textId="77777777" w:rsidTr="00E34462">
        <w:trPr>
          <w:trHeight w:val="271"/>
        </w:trPr>
        <w:tc>
          <w:tcPr>
            <w:tcW w:w="1777" w:type="dxa"/>
            <w:tcBorders>
              <w:top w:val="single" w:sz="4" w:space="0" w:color="000000"/>
              <w:left w:val="single" w:sz="4" w:space="0" w:color="000000"/>
              <w:bottom w:val="single" w:sz="4" w:space="0" w:color="000000"/>
              <w:right w:val="single" w:sz="4" w:space="0" w:color="000000"/>
            </w:tcBorders>
            <w:vAlign w:val="bottom"/>
          </w:tcPr>
          <w:p w14:paraId="2CA420D6"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 xml:space="preserve">Docente esperto interno </w:t>
            </w:r>
          </w:p>
        </w:tc>
        <w:tc>
          <w:tcPr>
            <w:tcW w:w="1381" w:type="dxa"/>
            <w:tcBorders>
              <w:top w:val="single" w:sz="4" w:space="0" w:color="000000"/>
              <w:left w:val="single" w:sz="4" w:space="0" w:color="000000"/>
              <w:bottom w:val="single" w:sz="4" w:space="0" w:color="000000"/>
              <w:right w:val="single" w:sz="4" w:space="0" w:color="000000"/>
            </w:tcBorders>
          </w:tcPr>
          <w:p w14:paraId="2F8C6AEA"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66</w:t>
            </w:r>
          </w:p>
        </w:tc>
        <w:tc>
          <w:tcPr>
            <w:tcW w:w="1586" w:type="dxa"/>
            <w:tcBorders>
              <w:top w:val="single" w:sz="4" w:space="0" w:color="000000"/>
              <w:left w:val="single" w:sz="4" w:space="0" w:color="000000"/>
              <w:bottom w:val="single" w:sz="4" w:space="0" w:color="000000"/>
              <w:right w:val="single" w:sz="4" w:space="0" w:color="000000"/>
            </w:tcBorders>
          </w:tcPr>
          <w:p w14:paraId="38EE5D30"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3</w:t>
            </w:r>
          </w:p>
        </w:tc>
        <w:tc>
          <w:tcPr>
            <w:tcW w:w="1581" w:type="dxa"/>
            <w:tcBorders>
              <w:top w:val="single" w:sz="4" w:space="0" w:color="000000"/>
              <w:left w:val="single" w:sz="4" w:space="0" w:color="000000"/>
              <w:bottom w:val="single" w:sz="4" w:space="0" w:color="000000"/>
              <w:right w:val="single" w:sz="4" w:space="0" w:color="000000"/>
            </w:tcBorders>
          </w:tcPr>
          <w:p w14:paraId="2B79CD89"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3</w:t>
            </w:r>
          </w:p>
        </w:tc>
        <w:tc>
          <w:tcPr>
            <w:tcW w:w="1592" w:type="dxa"/>
            <w:tcBorders>
              <w:top w:val="single" w:sz="4" w:space="0" w:color="000000"/>
              <w:left w:val="single" w:sz="4" w:space="0" w:color="000000"/>
              <w:bottom w:val="single" w:sz="4" w:space="0" w:color="000000"/>
              <w:right w:val="single" w:sz="4" w:space="0" w:color="000000"/>
            </w:tcBorders>
          </w:tcPr>
          <w:p w14:paraId="7ACEC51A" w14:textId="77777777" w:rsidR="00093B75" w:rsidRPr="00E34462" w:rsidRDefault="00093B75" w:rsidP="00E34462">
            <w:pPr>
              <w:spacing w:line="259" w:lineRule="auto"/>
              <w:jc w:val="center"/>
              <w:rPr>
                <w:rFonts w:ascii="Times New Roman" w:hAnsi="Times New Roman" w:cs="Times New Roman"/>
                <w:sz w:val="24"/>
                <w:szCs w:val="24"/>
              </w:rPr>
            </w:pPr>
            <w:r w:rsidRPr="00E34462">
              <w:rPr>
                <w:rFonts w:ascii="Times New Roman" w:hAnsi="Times New Roman" w:cs="Times New Roman"/>
                <w:sz w:val="24"/>
                <w:szCs w:val="24"/>
              </w:rPr>
              <w:t xml:space="preserve">€ 79,00 </w:t>
            </w:r>
          </w:p>
        </w:tc>
        <w:tc>
          <w:tcPr>
            <w:tcW w:w="1602" w:type="dxa"/>
            <w:tcBorders>
              <w:top w:val="single" w:sz="4" w:space="0" w:color="000000"/>
              <w:left w:val="single" w:sz="4" w:space="0" w:color="000000"/>
              <w:bottom w:val="single" w:sz="4" w:space="0" w:color="000000"/>
              <w:right w:val="single" w:sz="4" w:space="0" w:color="000000"/>
            </w:tcBorders>
          </w:tcPr>
          <w:p w14:paraId="696C6975" w14:textId="77777777" w:rsidR="00093B75" w:rsidRPr="00E34462" w:rsidRDefault="00093B75" w:rsidP="00E34462">
            <w:pPr>
              <w:spacing w:line="259" w:lineRule="auto"/>
              <w:rPr>
                <w:rFonts w:ascii="Times New Roman" w:hAnsi="Times New Roman" w:cs="Times New Roman"/>
                <w:sz w:val="24"/>
                <w:szCs w:val="24"/>
              </w:rPr>
            </w:pPr>
            <w:r w:rsidRPr="00E34462">
              <w:rPr>
                <w:rFonts w:ascii="Times New Roman" w:hAnsi="Times New Roman" w:cs="Times New Roman"/>
                <w:sz w:val="24"/>
                <w:szCs w:val="24"/>
              </w:rPr>
              <w:t>15.642,00</w:t>
            </w:r>
          </w:p>
        </w:tc>
      </w:tr>
    </w:tbl>
    <w:p w14:paraId="33AD3682" w14:textId="77777777" w:rsidR="00093B75" w:rsidRPr="00E34462" w:rsidRDefault="00093B75" w:rsidP="00E34462">
      <w:pPr>
        <w:pStyle w:val="Paragrafoelenco"/>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jc w:val="both"/>
        <w:rPr>
          <w:rFonts w:ascii="Times New Roman" w:eastAsia="Times New Roman" w:hAnsi="Times New Roman" w:cs="Times New Roman"/>
          <w:b w:val="0"/>
          <w:sz w:val="24"/>
          <w:szCs w:val="24"/>
          <w:bdr w:val="none" w:sz="0" w:space="0" w:color="auto"/>
        </w:rPr>
      </w:pPr>
    </w:p>
    <w:p w14:paraId="230A5653" w14:textId="44BAC223" w:rsidR="00093B75" w:rsidRPr="00E34462" w:rsidRDefault="00E34462" w:rsidP="00E34462">
      <w:pPr>
        <w:spacing w:after="140"/>
        <w:jc w:val="both"/>
        <w:rPr>
          <w:rFonts w:ascii="Times New Roman" w:hAnsi="Times New Roman" w:cs="Times New Roman"/>
          <w:sz w:val="24"/>
          <w:szCs w:val="24"/>
        </w:rPr>
      </w:pPr>
      <w:r w:rsidRPr="00E34462">
        <w:rPr>
          <w:rFonts w:ascii="Times New Roman" w:eastAsia="Times New Roman" w:hAnsi="Times New Roman" w:cs="Times New Roman"/>
          <w:b w:val="0"/>
          <w:bCs w:val="0"/>
          <w:sz w:val="24"/>
          <w:szCs w:val="24"/>
          <w:bdr w:val="none" w:sz="0" w:space="0" w:color="auto"/>
        </w:rPr>
        <w:t>2)</w:t>
      </w:r>
      <w:r w:rsidR="00093B75" w:rsidRPr="00E34462">
        <w:rPr>
          <w:rFonts w:ascii="Times New Roman" w:eastAsia="Times New Roman" w:hAnsi="Times New Roman" w:cs="Times New Roman"/>
          <w:b w:val="0"/>
          <w:bCs w:val="0"/>
          <w:sz w:val="24"/>
          <w:szCs w:val="24"/>
          <w:bdr w:val="none" w:sz="0" w:space="0" w:color="auto"/>
        </w:rPr>
        <w:t xml:space="preserve"> di autorizzare l’avvio di una selezione interna volta al conferimento di incarichi individuali per la realizzazione di n. 206 Percorsi di Mentoring e Orientamento, rientranti nell’ambito delle Azioni per </w:t>
      </w:r>
      <w:r w:rsidR="00093B75" w:rsidRPr="00E34462">
        <w:rPr>
          <w:rFonts w:ascii="Times New Roman" w:eastAsia="Times New Roman" w:hAnsi="Times New Roman" w:cs="Times New Roman"/>
          <w:b w:val="0"/>
          <w:bCs w:val="0"/>
          <w:sz w:val="24"/>
          <w:szCs w:val="24"/>
          <w:bdr w:val="none" w:sz="0" w:space="0" w:color="auto"/>
        </w:rPr>
        <w:lastRenderedPageBreak/>
        <w:t>la riduzione dei divari territoriali e il contrasto alla dispersione scolastica di cui al Decreto del Ministero dell’Istruzione del 2 febbraio 2024, n. 19. in oggetto, per un importo pari a € € 43.260,00 lordo stato, commisurato all’attività effettivamente svolta e rendicontata dal soggetto selezionato, fermo restando in ogni caso il raggiungimento dei target e milestone come indicati nel Progetto</w:t>
      </w:r>
    </w:p>
    <w:tbl>
      <w:tblPr>
        <w:tblW w:w="9418" w:type="dxa"/>
        <w:tblInd w:w="216" w:type="dxa"/>
        <w:tblCellMar>
          <w:top w:w="155" w:type="dxa"/>
          <w:left w:w="106" w:type="dxa"/>
          <w:bottom w:w="3" w:type="dxa"/>
          <w:right w:w="55" w:type="dxa"/>
        </w:tblCellMar>
        <w:tblLook w:val="04A0" w:firstRow="1" w:lastRow="0" w:firstColumn="1" w:lastColumn="0" w:noHBand="0" w:noVBand="1"/>
      </w:tblPr>
      <w:tblGrid>
        <w:gridCol w:w="1764"/>
        <w:gridCol w:w="1361"/>
        <w:gridCol w:w="1570"/>
        <w:gridCol w:w="1565"/>
        <w:gridCol w:w="1574"/>
        <w:gridCol w:w="1584"/>
      </w:tblGrid>
      <w:tr w:rsidR="00093B75" w:rsidRPr="00E34462" w14:paraId="4CEFB901" w14:textId="77777777" w:rsidTr="00E34462">
        <w:trPr>
          <w:trHeight w:val="160"/>
        </w:trPr>
        <w:tc>
          <w:tcPr>
            <w:tcW w:w="1764" w:type="dxa"/>
            <w:tcBorders>
              <w:top w:val="single" w:sz="4" w:space="0" w:color="000000"/>
              <w:left w:val="single" w:sz="4" w:space="0" w:color="000000"/>
              <w:bottom w:val="single" w:sz="4" w:space="0" w:color="000000"/>
              <w:right w:val="single" w:sz="4" w:space="0" w:color="000000"/>
            </w:tcBorders>
          </w:tcPr>
          <w:p w14:paraId="323B314F" w14:textId="723F8107" w:rsidR="00093B75" w:rsidRPr="00E34462" w:rsidRDefault="00E34462"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Fi</w:t>
            </w:r>
            <w:r w:rsidR="00093B75" w:rsidRPr="00E34462">
              <w:rPr>
                <w:rFonts w:ascii="Times New Roman" w:eastAsia="Times New Roman" w:hAnsi="Times New Roman" w:cs="Times New Roman"/>
                <w:bCs w:val="0"/>
                <w:sz w:val="24"/>
                <w:szCs w:val="24"/>
                <w:bdr w:val="none" w:sz="0" w:space="0" w:color="auto"/>
              </w:rPr>
              <w:t xml:space="preserve">gure richieste </w:t>
            </w:r>
          </w:p>
        </w:tc>
        <w:tc>
          <w:tcPr>
            <w:tcW w:w="1361" w:type="dxa"/>
            <w:tcBorders>
              <w:top w:val="single" w:sz="4" w:space="0" w:color="000000"/>
              <w:left w:val="single" w:sz="4" w:space="0" w:color="000000"/>
              <w:bottom w:val="single" w:sz="4" w:space="0" w:color="000000"/>
              <w:right w:val="single" w:sz="4" w:space="0" w:color="000000"/>
            </w:tcBorders>
          </w:tcPr>
          <w:p w14:paraId="23DF7DB1"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N. percorsi da attivare </w:t>
            </w:r>
          </w:p>
        </w:tc>
        <w:tc>
          <w:tcPr>
            <w:tcW w:w="1570" w:type="dxa"/>
            <w:tcBorders>
              <w:top w:val="single" w:sz="4" w:space="0" w:color="000000"/>
              <w:left w:val="single" w:sz="4" w:space="0" w:color="000000"/>
              <w:bottom w:val="single" w:sz="4" w:space="0" w:color="000000"/>
              <w:right w:val="single" w:sz="4" w:space="0" w:color="000000"/>
            </w:tcBorders>
          </w:tcPr>
          <w:p w14:paraId="4FE5A88C"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N. studenti coinvolti per percorso </w:t>
            </w:r>
          </w:p>
        </w:tc>
        <w:tc>
          <w:tcPr>
            <w:tcW w:w="1565" w:type="dxa"/>
            <w:tcBorders>
              <w:top w:val="single" w:sz="4" w:space="0" w:color="000000"/>
              <w:left w:val="single" w:sz="4" w:space="0" w:color="000000"/>
              <w:bottom w:val="single" w:sz="4" w:space="0" w:color="000000"/>
              <w:right w:val="single" w:sz="4" w:space="0" w:color="000000"/>
            </w:tcBorders>
          </w:tcPr>
          <w:p w14:paraId="387FD402"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N. ore per ogni percorso da </w:t>
            </w:r>
          </w:p>
          <w:p w14:paraId="1AF51FB4"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attivare </w:t>
            </w:r>
          </w:p>
        </w:tc>
        <w:tc>
          <w:tcPr>
            <w:tcW w:w="1574" w:type="dxa"/>
            <w:tcBorders>
              <w:top w:val="single" w:sz="4" w:space="0" w:color="000000"/>
              <w:left w:val="single" w:sz="4" w:space="0" w:color="000000"/>
              <w:bottom w:val="single" w:sz="4" w:space="0" w:color="000000"/>
              <w:right w:val="single" w:sz="4" w:space="0" w:color="000000"/>
            </w:tcBorders>
            <w:vAlign w:val="bottom"/>
          </w:tcPr>
          <w:p w14:paraId="48CE011A"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Compenso </w:t>
            </w:r>
          </w:p>
          <w:p w14:paraId="220D0B94"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orario previsto per docente per ogni </w:t>
            </w:r>
          </w:p>
          <w:p w14:paraId="6981EB07"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percorso </w:t>
            </w:r>
          </w:p>
        </w:tc>
        <w:tc>
          <w:tcPr>
            <w:tcW w:w="1584" w:type="dxa"/>
            <w:tcBorders>
              <w:top w:val="single" w:sz="4" w:space="0" w:color="000000"/>
              <w:left w:val="single" w:sz="4" w:space="0" w:color="000000"/>
              <w:bottom w:val="single" w:sz="4" w:space="0" w:color="000000"/>
              <w:right w:val="single" w:sz="4" w:space="0" w:color="000000"/>
            </w:tcBorders>
            <w:vAlign w:val="bottom"/>
          </w:tcPr>
          <w:p w14:paraId="38226993"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Compenso </w:t>
            </w:r>
          </w:p>
          <w:p w14:paraId="1B38F3D0"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orario complessivi </w:t>
            </w:r>
          </w:p>
          <w:p w14:paraId="72EE2A02" w14:textId="5C34E3DB"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percorsi da </w:t>
            </w:r>
          </w:p>
          <w:p w14:paraId="35CE7874"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attivare </w:t>
            </w:r>
          </w:p>
        </w:tc>
      </w:tr>
      <w:tr w:rsidR="00093B75" w:rsidRPr="00E34462" w14:paraId="4E7BD9AE" w14:textId="77777777" w:rsidTr="00E34462">
        <w:trPr>
          <w:trHeight w:val="139"/>
        </w:trPr>
        <w:tc>
          <w:tcPr>
            <w:tcW w:w="1764" w:type="dxa"/>
            <w:tcBorders>
              <w:top w:val="single" w:sz="4" w:space="0" w:color="000000"/>
              <w:left w:val="single" w:sz="4" w:space="0" w:color="000000"/>
              <w:bottom w:val="single" w:sz="4" w:space="0" w:color="000000"/>
              <w:right w:val="single" w:sz="4" w:space="0" w:color="000000"/>
            </w:tcBorders>
            <w:vAlign w:val="bottom"/>
          </w:tcPr>
          <w:p w14:paraId="2399446A"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Docente esperto interno </w:t>
            </w:r>
          </w:p>
        </w:tc>
        <w:tc>
          <w:tcPr>
            <w:tcW w:w="1361" w:type="dxa"/>
            <w:tcBorders>
              <w:top w:val="single" w:sz="4" w:space="0" w:color="000000"/>
              <w:left w:val="single" w:sz="4" w:space="0" w:color="000000"/>
              <w:bottom w:val="single" w:sz="4" w:space="0" w:color="000000"/>
              <w:right w:val="single" w:sz="4" w:space="0" w:color="000000"/>
            </w:tcBorders>
          </w:tcPr>
          <w:p w14:paraId="49E2634F"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206</w:t>
            </w:r>
          </w:p>
        </w:tc>
        <w:tc>
          <w:tcPr>
            <w:tcW w:w="1570" w:type="dxa"/>
            <w:tcBorders>
              <w:top w:val="single" w:sz="4" w:space="0" w:color="000000"/>
              <w:left w:val="single" w:sz="4" w:space="0" w:color="000000"/>
              <w:bottom w:val="single" w:sz="4" w:space="0" w:color="000000"/>
              <w:right w:val="single" w:sz="4" w:space="0" w:color="000000"/>
            </w:tcBorders>
          </w:tcPr>
          <w:p w14:paraId="0D08AE83"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1 </w:t>
            </w:r>
          </w:p>
        </w:tc>
        <w:tc>
          <w:tcPr>
            <w:tcW w:w="1565" w:type="dxa"/>
            <w:tcBorders>
              <w:top w:val="single" w:sz="4" w:space="0" w:color="000000"/>
              <w:left w:val="single" w:sz="4" w:space="0" w:color="000000"/>
              <w:bottom w:val="single" w:sz="4" w:space="0" w:color="000000"/>
              <w:right w:val="single" w:sz="4" w:space="0" w:color="000000"/>
            </w:tcBorders>
          </w:tcPr>
          <w:p w14:paraId="211B7EC8"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5</w:t>
            </w:r>
          </w:p>
        </w:tc>
        <w:tc>
          <w:tcPr>
            <w:tcW w:w="1574" w:type="dxa"/>
            <w:tcBorders>
              <w:top w:val="single" w:sz="4" w:space="0" w:color="000000"/>
              <w:left w:val="single" w:sz="4" w:space="0" w:color="000000"/>
              <w:bottom w:val="single" w:sz="4" w:space="0" w:color="000000"/>
              <w:right w:val="single" w:sz="4" w:space="0" w:color="000000"/>
            </w:tcBorders>
          </w:tcPr>
          <w:p w14:paraId="36DB720F"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€ 42,00 </w:t>
            </w:r>
          </w:p>
        </w:tc>
        <w:tc>
          <w:tcPr>
            <w:tcW w:w="1584" w:type="dxa"/>
            <w:tcBorders>
              <w:top w:val="single" w:sz="4" w:space="0" w:color="000000"/>
              <w:left w:val="single" w:sz="4" w:space="0" w:color="000000"/>
              <w:bottom w:val="single" w:sz="4" w:space="0" w:color="000000"/>
              <w:right w:val="single" w:sz="4" w:space="0" w:color="000000"/>
            </w:tcBorders>
          </w:tcPr>
          <w:p w14:paraId="1BB37428" w14:textId="77777777" w:rsidR="00093B75" w:rsidRPr="00E34462" w:rsidRDefault="00093B75" w:rsidP="00093B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imes New Roman" w:eastAsia="Times New Roman" w:hAnsi="Times New Roman" w:cs="Times New Roman"/>
                <w:bCs w:val="0"/>
                <w:sz w:val="24"/>
                <w:szCs w:val="24"/>
                <w:bdr w:val="none" w:sz="0" w:space="0" w:color="auto"/>
              </w:rPr>
            </w:pPr>
            <w:r w:rsidRPr="00E34462">
              <w:rPr>
                <w:rFonts w:ascii="Times New Roman" w:eastAsia="Times New Roman" w:hAnsi="Times New Roman" w:cs="Times New Roman"/>
                <w:bCs w:val="0"/>
                <w:sz w:val="24"/>
                <w:szCs w:val="24"/>
                <w:bdr w:val="none" w:sz="0" w:space="0" w:color="auto"/>
              </w:rPr>
              <w:t xml:space="preserve">€ 43.260,00 </w:t>
            </w:r>
          </w:p>
        </w:tc>
      </w:tr>
    </w:tbl>
    <w:p w14:paraId="6BEDEE5C" w14:textId="77777777" w:rsidR="00146B5C" w:rsidRPr="00E34462" w:rsidRDefault="00146B5C" w:rsidP="004C63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b w:val="0"/>
          <w:bCs w:val="0"/>
          <w:sz w:val="24"/>
          <w:szCs w:val="24"/>
        </w:rPr>
      </w:pPr>
    </w:p>
    <w:p w14:paraId="7323BA1D" w14:textId="77777777" w:rsidR="004C631B" w:rsidRPr="00E34462" w:rsidRDefault="004C631B" w:rsidP="004C63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b w:val="0"/>
          <w:bCs w:val="0"/>
          <w:sz w:val="24"/>
          <w:szCs w:val="24"/>
        </w:rPr>
      </w:pPr>
      <w:r w:rsidRPr="00E34462">
        <w:rPr>
          <w:rFonts w:ascii="Times New Roman" w:hAnsi="Times New Roman" w:cs="Times New Roman"/>
          <w:b w:val="0"/>
          <w:bCs w:val="0"/>
          <w:sz w:val="24"/>
          <w:szCs w:val="24"/>
        </w:rPr>
        <w:t>- di assumere l’incarico di Responsabile del Procedimento in questione ai sensi della Legge n. 241/1990;</w:t>
      </w:r>
    </w:p>
    <w:p w14:paraId="7EE6B3D3" w14:textId="78C7EEEB" w:rsidR="004C631B" w:rsidRPr="00E34462" w:rsidRDefault="004C631B" w:rsidP="004C63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b w:val="0"/>
          <w:bCs w:val="0"/>
          <w:sz w:val="24"/>
          <w:szCs w:val="24"/>
        </w:rPr>
      </w:pPr>
      <w:r w:rsidRPr="00E34462">
        <w:rPr>
          <w:rFonts w:ascii="Times New Roman" w:hAnsi="Times New Roman" w:cs="Times New Roman"/>
          <w:b w:val="0"/>
          <w:bCs w:val="0"/>
          <w:sz w:val="24"/>
          <w:szCs w:val="24"/>
        </w:rPr>
        <w:t xml:space="preserve">- di pubblicare il presente provvedimento sul sito web dell’Istituzione Scolastica </w:t>
      </w:r>
      <w:r w:rsidRPr="00E34462">
        <w:rPr>
          <w:rFonts w:ascii="Times New Roman" w:hAnsi="Times New Roman" w:cs="Times New Roman"/>
          <w:b w:val="0"/>
          <w:bCs w:val="0"/>
          <w:color w:val="0000FF"/>
          <w:sz w:val="24"/>
          <w:szCs w:val="24"/>
        </w:rPr>
        <w:t xml:space="preserve">https://www.cpiatrieste.edu.it </w:t>
      </w:r>
      <w:r w:rsidRPr="00E34462">
        <w:rPr>
          <w:rFonts w:ascii="Times New Roman" w:hAnsi="Times New Roman" w:cs="Times New Roman"/>
          <w:b w:val="0"/>
          <w:bCs w:val="0"/>
          <w:sz w:val="24"/>
          <w:szCs w:val="24"/>
        </w:rPr>
        <w:t>per la massima diffusione, nelle sezioni albo online nell’apposita</w:t>
      </w:r>
      <w:r w:rsidR="00E34462" w:rsidRPr="00E34462">
        <w:rPr>
          <w:rFonts w:ascii="Times New Roman" w:hAnsi="Times New Roman" w:cs="Times New Roman"/>
          <w:b w:val="0"/>
          <w:bCs w:val="0"/>
          <w:sz w:val="24"/>
          <w:szCs w:val="24"/>
        </w:rPr>
        <w:t xml:space="preserve"> </w:t>
      </w:r>
      <w:r w:rsidRPr="00E34462">
        <w:rPr>
          <w:rFonts w:ascii="Times New Roman" w:hAnsi="Times New Roman" w:cs="Times New Roman"/>
          <w:b w:val="0"/>
          <w:bCs w:val="0"/>
          <w:sz w:val="24"/>
          <w:szCs w:val="24"/>
        </w:rPr>
        <w:t>sezione all’uopo dedicata.</w:t>
      </w:r>
    </w:p>
    <w:p w14:paraId="2925973F" w14:textId="222818B1" w:rsidR="00E34462" w:rsidRDefault="00E34462" w:rsidP="004C63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b w:val="0"/>
          <w:bCs w:val="0"/>
          <w:sz w:val="22"/>
          <w:szCs w:val="22"/>
        </w:rPr>
      </w:pPr>
    </w:p>
    <w:p w14:paraId="7747F8BE" w14:textId="77777777" w:rsidR="00E34462" w:rsidRPr="00093B75" w:rsidRDefault="00E34462" w:rsidP="004C63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b w:val="0"/>
          <w:bCs w:val="0"/>
          <w:sz w:val="22"/>
          <w:szCs w:val="22"/>
        </w:rPr>
      </w:pPr>
    </w:p>
    <w:p w14:paraId="253EF9CB" w14:textId="21DE2D92" w:rsidR="00235B0A" w:rsidRPr="00093B75" w:rsidRDefault="00235B0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line="276" w:lineRule="auto"/>
        <w:jc w:val="right"/>
        <w:rPr>
          <w:rFonts w:ascii="Times New Roman" w:eastAsia="Times New Roman" w:hAnsi="Times New Roman" w:cs="Times New Roman"/>
          <w:b w:val="0"/>
          <w:color w:val="auto"/>
          <w:sz w:val="22"/>
          <w:szCs w:val="22"/>
          <w:bdr w:val="none" w:sz="0" w:space="0" w:color="auto"/>
        </w:rPr>
      </w:pPr>
      <w:r w:rsidRPr="00093B75">
        <w:rPr>
          <w:rFonts w:ascii="Times New Roman" w:eastAsia="Times New Roman" w:hAnsi="Times New Roman" w:cs="Times New Roman"/>
          <w:b w:val="0"/>
          <w:color w:val="auto"/>
          <w:sz w:val="22"/>
          <w:szCs w:val="22"/>
          <w:bdr w:val="none" w:sz="0" w:space="0" w:color="auto"/>
        </w:rPr>
        <w:t>Il DIRIGENTE SCOLASTICO</w:t>
      </w:r>
    </w:p>
    <w:p w14:paraId="7C01B63C" w14:textId="77777777" w:rsidR="00235B0A" w:rsidRPr="00093B75" w:rsidRDefault="00235B0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right"/>
        <w:rPr>
          <w:rFonts w:ascii="Times New Roman" w:eastAsia="Times New Roman" w:hAnsi="Times New Roman" w:cs="Times New Roman"/>
          <w:b w:val="0"/>
          <w:color w:val="auto"/>
          <w:sz w:val="22"/>
          <w:szCs w:val="22"/>
          <w:bdr w:val="none" w:sz="0" w:space="0" w:color="auto"/>
        </w:rPr>
      </w:pPr>
      <w:r w:rsidRPr="00093B75">
        <w:rPr>
          <w:rFonts w:ascii="Times New Roman" w:eastAsia="Times New Roman" w:hAnsi="Times New Roman" w:cs="Times New Roman"/>
          <w:b w:val="0"/>
          <w:color w:val="auto"/>
          <w:sz w:val="22"/>
          <w:szCs w:val="22"/>
          <w:bdr w:val="none" w:sz="0" w:space="0" w:color="auto"/>
        </w:rPr>
        <w:t>Dott.ssa Susanna Tessaro</w:t>
      </w:r>
    </w:p>
    <w:p w14:paraId="68B925AA" w14:textId="022F5A36" w:rsidR="00235B0A" w:rsidRPr="00093B75" w:rsidRDefault="00235B0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right"/>
        <w:rPr>
          <w:rFonts w:ascii="Times New Roman" w:eastAsia="Times New Roman" w:hAnsi="Times New Roman" w:cs="Times New Roman"/>
          <w:b w:val="0"/>
          <w:color w:val="auto"/>
          <w:sz w:val="22"/>
          <w:szCs w:val="22"/>
          <w:bdr w:val="none" w:sz="0" w:space="0" w:color="auto"/>
        </w:rPr>
      </w:pP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t xml:space="preserve"> Firmato digitalmente</w:t>
      </w:r>
    </w:p>
    <w:p w14:paraId="24CBF19A" w14:textId="3F005A7E"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0B9C5A6F" w14:textId="084612D1"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034CA223" w14:textId="2DF4D3C3"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246C986A" w14:textId="751FEA4E"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646C9D55" w14:textId="35DCAE68"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6E1B8E2A" w14:textId="3229DEEA"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0B598204" w14:textId="03DD801D"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638895E6" w14:textId="09EB8FB2"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2CF44BCC" w14:textId="330CAA6D"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07F2DEDC" w14:textId="0B5C4770"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6E2D38ED" w14:textId="57EDC080"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56FED7A0" w14:textId="09A2E8E6"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49CD75E1" w14:textId="6A3006A9"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4F7C7E00" w14:textId="75FAA275"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2B376841" w14:textId="07A741EF"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p w14:paraId="68FFAA37" w14:textId="77777777" w:rsidR="000824DA" w:rsidRPr="00093B75" w:rsidRDefault="000824DA" w:rsidP="00D411F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sectPr w:rsidR="000824DA" w:rsidRPr="00093B75" w:rsidSect="00146B5C">
      <w:footerReference w:type="default" r:id="rId13"/>
      <w:pgSz w:w="11900" w:h="16840"/>
      <w:pgMar w:top="851" w:right="1127" w:bottom="1135" w:left="1134" w:header="708"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F715" w14:textId="77777777" w:rsidR="00DB5F0B" w:rsidRDefault="00DB5F0B">
      <w:r>
        <w:separator/>
      </w:r>
    </w:p>
  </w:endnote>
  <w:endnote w:type="continuationSeparator" w:id="0">
    <w:p w14:paraId="79770A5E" w14:textId="77777777" w:rsidR="00DB5F0B" w:rsidRDefault="00DB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B666" w14:textId="2B668FA0" w:rsidR="004F18B3" w:rsidRDefault="004F18B3">
    <w:pPr>
      <w:pStyle w:val="Pidipagina"/>
    </w:pPr>
    <w:r>
      <w:rPr>
        <w:noProof/>
      </w:rPr>
      <w:drawing>
        <wp:anchor distT="0" distB="0" distL="0" distR="0" simplePos="0" relativeHeight="251659264" behindDoc="1" locked="0" layoutInCell="1" allowOverlap="1" wp14:anchorId="18A0B6B5" wp14:editId="688DFF77">
          <wp:simplePos x="0" y="0"/>
          <wp:positionH relativeFrom="page">
            <wp:posOffset>720090</wp:posOffset>
          </wp:positionH>
          <wp:positionV relativeFrom="page">
            <wp:posOffset>10274935</wp:posOffset>
          </wp:positionV>
          <wp:extent cx="6454131" cy="252975"/>
          <wp:effectExtent l="0" t="0" r="0" b="0"/>
          <wp:wrapNone/>
          <wp:docPr id="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454131" cy="2529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3415" w14:textId="77777777" w:rsidR="00DB5F0B" w:rsidRDefault="00DB5F0B">
      <w:r>
        <w:separator/>
      </w:r>
    </w:p>
  </w:footnote>
  <w:footnote w:type="continuationSeparator" w:id="0">
    <w:p w14:paraId="4676B78A" w14:textId="77777777" w:rsidR="00DB5F0B" w:rsidRDefault="00DB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2941DD"/>
    <w:multiLevelType w:val="hybridMultilevel"/>
    <w:tmpl w:val="8F4857DA"/>
    <w:numStyleLink w:val="Stileimportato1"/>
  </w:abstractNum>
  <w:abstractNum w:abstractNumId="3" w15:restartNumberingAfterBreak="0">
    <w:nsid w:val="061A30BB"/>
    <w:multiLevelType w:val="hybridMultilevel"/>
    <w:tmpl w:val="6A1ACB40"/>
    <w:lvl w:ilvl="0" w:tplc="E8FE0D7E">
      <w:numFmt w:val="bullet"/>
      <w:lvlText w:val="•"/>
      <w:lvlJc w:val="left"/>
      <w:pPr>
        <w:ind w:left="1425" w:hanging="705"/>
      </w:pPr>
      <w:rPr>
        <w:rFonts w:ascii="Times New Roman" w:eastAsia="Book Antiqua"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E296FED"/>
    <w:multiLevelType w:val="hybridMultilevel"/>
    <w:tmpl w:val="5F92F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17190F"/>
    <w:multiLevelType w:val="hybridMultilevel"/>
    <w:tmpl w:val="158E618C"/>
    <w:lvl w:ilvl="0" w:tplc="9CA4AED0">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94C2E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ACD2B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E05D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68A7E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FA89F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084B0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7458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D6F57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555B06"/>
    <w:multiLevelType w:val="hybridMultilevel"/>
    <w:tmpl w:val="6F9E5AD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5309E2"/>
    <w:multiLevelType w:val="hybridMultilevel"/>
    <w:tmpl w:val="86060F8E"/>
    <w:lvl w:ilvl="0" w:tplc="070A50CE">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F24132">
      <w:start w:val="1"/>
      <w:numFmt w:val="bullet"/>
      <w:lvlText w:val="o"/>
      <w:lvlJc w:val="left"/>
      <w:pPr>
        <w:ind w:left="1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D2D584">
      <w:start w:val="1"/>
      <w:numFmt w:val="bullet"/>
      <w:lvlText w:val="▪"/>
      <w:lvlJc w:val="left"/>
      <w:pPr>
        <w:ind w:left="2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CEC728">
      <w:start w:val="1"/>
      <w:numFmt w:val="bullet"/>
      <w:lvlText w:val="•"/>
      <w:lvlJc w:val="left"/>
      <w:pPr>
        <w:ind w:left="2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E27C30">
      <w:start w:val="1"/>
      <w:numFmt w:val="bullet"/>
      <w:lvlText w:val="o"/>
      <w:lvlJc w:val="left"/>
      <w:pPr>
        <w:ind w:left="3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4E55A">
      <w:start w:val="1"/>
      <w:numFmt w:val="bullet"/>
      <w:lvlText w:val="▪"/>
      <w:lvlJc w:val="left"/>
      <w:pPr>
        <w:ind w:left="4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E85DFE">
      <w:start w:val="1"/>
      <w:numFmt w:val="bullet"/>
      <w:lvlText w:val="•"/>
      <w:lvlJc w:val="left"/>
      <w:pPr>
        <w:ind w:left="5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1E2D4A">
      <w:start w:val="1"/>
      <w:numFmt w:val="bullet"/>
      <w:lvlText w:val="o"/>
      <w:lvlJc w:val="left"/>
      <w:pPr>
        <w:ind w:left="5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A4B354">
      <w:start w:val="1"/>
      <w:numFmt w:val="bullet"/>
      <w:lvlText w:val="▪"/>
      <w:lvlJc w:val="left"/>
      <w:pPr>
        <w:ind w:left="6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BB0EF7"/>
    <w:multiLevelType w:val="hybridMultilevel"/>
    <w:tmpl w:val="84E6E5AC"/>
    <w:lvl w:ilvl="0" w:tplc="767A92BA">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AA947C">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7C403C">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D485A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A60450">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C8D794">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F6A69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24229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AC8AB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BC5BB0"/>
    <w:multiLevelType w:val="hybridMultilevel"/>
    <w:tmpl w:val="5C9E78E0"/>
    <w:lvl w:ilvl="0" w:tplc="8F9E4C28">
      <w:start w:val="1"/>
      <w:numFmt w:val="bullet"/>
      <w:lvlText w:val="-"/>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024C42">
      <w:start w:val="1"/>
      <w:numFmt w:val="bullet"/>
      <w:lvlText w:val="o"/>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1E1224">
      <w:start w:val="1"/>
      <w:numFmt w:val="bullet"/>
      <w:lvlText w:val="▪"/>
      <w:lvlJc w:val="left"/>
      <w:pPr>
        <w:ind w:left="1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92F0BE">
      <w:start w:val="1"/>
      <w:numFmt w:val="bullet"/>
      <w:lvlText w:val="•"/>
      <w:lvlJc w:val="left"/>
      <w:pPr>
        <w:ind w:left="2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AFBB6">
      <w:start w:val="1"/>
      <w:numFmt w:val="bullet"/>
      <w:lvlText w:val="o"/>
      <w:lvlJc w:val="left"/>
      <w:pPr>
        <w:ind w:left="3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447382">
      <w:start w:val="1"/>
      <w:numFmt w:val="bullet"/>
      <w:lvlText w:val="▪"/>
      <w:lvlJc w:val="left"/>
      <w:pPr>
        <w:ind w:left="4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A2C1A2">
      <w:start w:val="1"/>
      <w:numFmt w:val="bullet"/>
      <w:lvlText w:val="•"/>
      <w:lvlJc w:val="left"/>
      <w:pPr>
        <w:ind w:left="4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069576">
      <w:start w:val="1"/>
      <w:numFmt w:val="bullet"/>
      <w:lvlText w:val="o"/>
      <w:lvlJc w:val="left"/>
      <w:pPr>
        <w:ind w:left="5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AA2868">
      <w:start w:val="1"/>
      <w:numFmt w:val="bullet"/>
      <w:lvlText w:val="▪"/>
      <w:lvlJc w:val="left"/>
      <w:pPr>
        <w:ind w:left="6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A274F9"/>
    <w:multiLevelType w:val="hybridMultilevel"/>
    <w:tmpl w:val="E6A860A0"/>
    <w:lvl w:ilvl="0" w:tplc="E8FE0D7E">
      <w:numFmt w:val="bullet"/>
      <w:lvlText w:val="•"/>
      <w:lvlJc w:val="left"/>
      <w:pPr>
        <w:ind w:left="1065" w:hanging="705"/>
      </w:pPr>
      <w:rPr>
        <w:rFonts w:ascii="Times New Roman" w:eastAsia="Book Antiqu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991980"/>
    <w:multiLevelType w:val="hybridMultilevel"/>
    <w:tmpl w:val="B3F4391C"/>
    <w:lvl w:ilvl="0" w:tplc="04100011">
      <w:start w:val="1"/>
      <w:numFmt w:val="decimal"/>
      <w:lvlText w:val="%1)"/>
      <w:lvlJc w:val="left"/>
      <w:pPr>
        <w:ind w:left="720" w:hanging="360"/>
      </w:pPr>
      <w:rPr>
        <w:rFonts w:eastAsia="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9C5D87"/>
    <w:multiLevelType w:val="hybridMultilevel"/>
    <w:tmpl w:val="7DBE5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0266844"/>
    <w:multiLevelType w:val="hybridMultilevel"/>
    <w:tmpl w:val="B1D6D920"/>
    <w:lvl w:ilvl="0" w:tplc="2B664ECC">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54DB6A">
      <w:start w:val="1"/>
      <w:numFmt w:val="bullet"/>
      <w:lvlText w:val="o"/>
      <w:lvlJc w:val="left"/>
      <w:pPr>
        <w:ind w:left="1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54C81A">
      <w:start w:val="1"/>
      <w:numFmt w:val="bullet"/>
      <w:lvlText w:val="▪"/>
      <w:lvlJc w:val="left"/>
      <w:pPr>
        <w:ind w:left="2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E6A6A8">
      <w:start w:val="1"/>
      <w:numFmt w:val="bullet"/>
      <w:lvlText w:val="•"/>
      <w:lvlJc w:val="left"/>
      <w:pPr>
        <w:ind w:left="2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961FE0">
      <w:start w:val="1"/>
      <w:numFmt w:val="bullet"/>
      <w:lvlText w:val="o"/>
      <w:lvlJc w:val="left"/>
      <w:pPr>
        <w:ind w:left="3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1EE894">
      <w:start w:val="1"/>
      <w:numFmt w:val="bullet"/>
      <w:lvlText w:val="▪"/>
      <w:lvlJc w:val="left"/>
      <w:pPr>
        <w:ind w:left="4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26FE56">
      <w:start w:val="1"/>
      <w:numFmt w:val="bullet"/>
      <w:lvlText w:val="•"/>
      <w:lvlJc w:val="left"/>
      <w:pPr>
        <w:ind w:left="5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24567E">
      <w:start w:val="1"/>
      <w:numFmt w:val="bullet"/>
      <w:lvlText w:val="o"/>
      <w:lvlJc w:val="left"/>
      <w:pPr>
        <w:ind w:left="5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A6294A">
      <w:start w:val="1"/>
      <w:numFmt w:val="bullet"/>
      <w:lvlText w:val="▪"/>
      <w:lvlJc w:val="left"/>
      <w:pPr>
        <w:ind w:left="6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255AAD"/>
    <w:multiLevelType w:val="hybridMultilevel"/>
    <w:tmpl w:val="F648DBEA"/>
    <w:lvl w:ilvl="0" w:tplc="04100011">
      <w:start w:val="1"/>
      <w:numFmt w:val="decimal"/>
      <w:lvlText w:val="%1)"/>
      <w:lvlJc w:val="left"/>
      <w:pPr>
        <w:ind w:left="720" w:hanging="360"/>
      </w:pPr>
      <w:rPr>
        <w:rFonts w:eastAsia="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8444D0B"/>
    <w:multiLevelType w:val="hybridMultilevel"/>
    <w:tmpl w:val="1F44F3CE"/>
    <w:lvl w:ilvl="0" w:tplc="8D50990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C13CFB"/>
    <w:multiLevelType w:val="hybridMultilevel"/>
    <w:tmpl w:val="732CE5EC"/>
    <w:lvl w:ilvl="0" w:tplc="39DAC4DA">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278AE">
      <w:start w:val="1"/>
      <w:numFmt w:val="bullet"/>
      <w:lvlText w:val="o"/>
      <w:lvlJc w:val="left"/>
      <w:pPr>
        <w:ind w:left="1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34068A">
      <w:start w:val="1"/>
      <w:numFmt w:val="bullet"/>
      <w:lvlText w:val="▪"/>
      <w:lvlJc w:val="left"/>
      <w:pPr>
        <w:ind w:left="2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AC702C">
      <w:start w:val="1"/>
      <w:numFmt w:val="bullet"/>
      <w:lvlText w:val="•"/>
      <w:lvlJc w:val="left"/>
      <w:pPr>
        <w:ind w:left="2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9C8584">
      <w:start w:val="1"/>
      <w:numFmt w:val="bullet"/>
      <w:lvlText w:val="o"/>
      <w:lvlJc w:val="left"/>
      <w:pPr>
        <w:ind w:left="3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32CA46">
      <w:start w:val="1"/>
      <w:numFmt w:val="bullet"/>
      <w:lvlText w:val="▪"/>
      <w:lvlJc w:val="left"/>
      <w:pPr>
        <w:ind w:left="4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46859C">
      <w:start w:val="1"/>
      <w:numFmt w:val="bullet"/>
      <w:lvlText w:val="•"/>
      <w:lvlJc w:val="left"/>
      <w:pPr>
        <w:ind w:left="5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C4B700">
      <w:start w:val="1"/>
      <w:numFmt w:val="bullet"/>
      <w:lvlText w:val="o"/>
      <w:lvlJc w:val="left"/>
      <w:pPr>
        <w:ind w:left="5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02F518">
      <w:start w:val="1"/>
      <w:numFmt w:val="bullet"/>
      <w:lvlText w:val="▪"/>
      <w:lvlJc w:val="left"/>
      <w:pPr>
        <w:ind w:left="6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3A142E3"/>
    <w:multiLevelType w:val="hybridMultilevel"/>
    <w:tmpl w:val="792AC29C"/>
    <w:lvl w:ilvl="0" w:tplc="FB0A5202">
      <w:start w:val="1"/>
      <w:numFmt w:val="decimal"/>
      <w:lvlText w:val="%1)"/>
      <w:lvlJc w:val="left"/>
      <w:pPr>
        <w:ind w:left="502" w:hanging="360"/>
      </w:pPr>
      <w:rPr>
        <w:rFonts w:eastAsia="Times New Roman" w:hint="default"/>
        <w:b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1" w15:restartNumberingAfterBreak="0">
    <w:nsid w:val="4468149F"/>
    <w:multiLevelType w:val="hybridMultilevel"/>
    <w:tmpl w:val="2AA430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55601E5E"/>
    <w:multiLevelType w:val="hybridMultilevel"/>
    <w:tmpl w:val="7F72D04C"/>
    <w:lvl w:ilvl="0" w:tplc="9802F07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920CAE">
      <w:start w:val="1"/>
      <w:numFmt w:val="bullet"/>
      <w:lvlText w:val="o"/>
      <w:lvlJc w:val="left"/>
      <w:pPr>
        <w:ind w:left="1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C8E97A">
      <w:start w:val="1"/>
      <w:numFmt w:val="bullet"/>
      <w:lvlText w:val="▪"/>
      <w:lvlJc w:val="left"/>
      <w:pPr>
        <w:ind w:left="2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ACFCFA">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0695E8">
      <w:start w:val="1"/>
      <w:numFmt w:val="bullet"/>
      <w:lvlText w:val="o"/>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D84848">
      <w:start w:val="1"/>
      <w:numFmt w:val="bullet"/>
      <w:lvlText w:val="▪"/>
      <w:lvlJc w:val="left"/>
      <w:pPr>
        <w:ind w:left="4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0A44D2">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25F16">
      <w:start w:val="1"/>
      <w:numFmt w:val="bullet"/>
      <w:lvlText w:val="o"/>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F0B686">
      <w:start w:val="1"/>
      <w:numFmt w:val="bullet"/>
      <w:lvlText w:val="▪"/>
      <w:lvlJc w:val="left"/>
      <w:pPr>
        <w:ind w:left="6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47110F"/>
    <w:multiLevelType w:val="hybridMultilevel"/>
    <w:tmpl w:val="4F4C67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7EF40DF"/>
    <w:multiLevelType w:val="hybridMultilevel"/>
    <w:tmpl w:val="B546BF4A"/>
    <w:lvl w:ilvl="0" w:tplc="F85CA334">
      <w:start w:val="1"/>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F0878EA"/>
    <w:multiLevelType w:val="hybridMultilevel"/>
    <w:tmpl w:val="084A7052"/>
    <w:lvl w:ilvl="0" w:tplc="543E46A6">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D46B8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96C80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B88E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B6D9D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2875E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109D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DC212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3E284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97402D"/>
    <w:multiLevelType w:val="hybridMultilevel"/>
    <w:tmpl w:val="8F4857DA"/>
    <w:styleLink w:val="Stileimportato1"/>
    <w:lvl w:ilvl="0" w:tplc="CA56F384">
      <w:start w:val="1"/>
      <w:numFmt w:val="bullet"/>
      <w:lvlText w:val="-"/>
      <w:lvlJc w:val="left"/>
      <w:pPr>
        <w:tabs>
          <w:tab w:val="num" w:pos="708"/>
        </w:tabs>
        <w:ind w:left="72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E0F36A">
      <w:start w:val="1"/>
      <w:numFmt w:val="bullet"/>
      <w:lvlText w:val="o"/>
      <w:lvlJc w:val="left"/>
      <w:pPr>
        <w:tabs>
          <w:tab w:val="num" w:pos="1416"/>
        </w:tabs>
        <w:ind w:left="1428" w:hanging="348"/>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F463AE">
      <w:start w:val="1"/>
      <w:numFmt w:val="bullet"/>
      <w:lvlText w:val="▪"/>
      <w:lvlJc w:val="left"/>
      <w:pPr>
        <w:tabs>
          <w:tab w:val="num" w:pos="2124"/>
        </w:tabs>
        <w:ind w:left="2136" w:hanging="33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14AE50">
      <w:start w:val="1"/>
      <w:numFmt w:val="bullet"/>
      <w:lvlText w:val="•"/>
      <w:lvlJc w:val="left"/>
      <w:pPr>
        <w:tabs>
          <w:tab w:val="num" w:pos="2832"/>
        </w:tabs>
        <w:ind w:left="2844" w:hanging="324"/>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E66C60">
      <w:start w:val="1"/>
      <w:numFmt w:val="bullet"/>
      <w:lvlText w:val="o"/>
      <w:lvlJc w:val="left"/>
      <w:pPr>
        <w:tabs>
          <w:tab w:val="num" w:pos="3540"/>
        </w:tabs>
        <w:ind w:left="3552" w:hanging="31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60576">
      <w:start w:val="1"/>
      <w:numFmt w:val="bullet"/>
      <w:lvlText w:val="▪"/>
      <w:lvlJc w:val="left"/>
      <w:pPr>
        <w:tabs>
          <w:tab w:val="num" w:pos="4248"/>
        </w:tabs>
        <w:ind w:left="4260" w:hanging="30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C0F862">
      <w:start w:val="1"/>
      <w:numFmt w:val="bullet"/>
      <w:lvlText w:val="•"/>
      <w:lvlJc w:val="left"/>
      <w:pPr>
        <w:tabs>
          <w:tab w:val="num" w:pos="4956"/>
        </w:tabs>
        <w:ind w:left="4968" w:hanging="288"/>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5050D6">
      <w:start w:val="1"/>
      <w:numFmt w:val="bullet"/>
      <w:lvlText w:val="o"/>
      <w:lvlJc w:val="left"/>
      <w:pPr>
        <w:tabs>
          <w:tab w:val="num" w:pos="5664"/>
        </w:tabs>
        <w:ind w:left="5676" w:hanging="27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3680B0">
      <w:start w:val="1"/>
      <w:numFmt w:val="bullet"/>
      <w:lvlText w:val="▪"/>
      <w:lvlJc w:val="left"/>
      <w:pPr>
        <w:tabs>
          <w:tab w:val="num" w:pos="6372"/>
        </w:tabs>
        <w:ind w:left="6384" w:hanging="264"/>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E602E9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D5034C"/>
    <w:multiLevelType w:val="hybridMultilevel"/>
    <w:tmpl w:val="325070F2"/>
    <w:lvl w:ilvl="0" w:tplc="95926CE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50414A">
      <w:start w:val="1"/>
      <w:numFmt w:val="bullet"/>
      <w:lvlText w:val="o"/>
      <w:lvlJc w:val="left"/>
      <w:pPr>
        <w:ind w:left="1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FA6C28">
      <w:start w:val="1"/>
      <w:numFmt w:val="bullet"/>
      <w:lvlText w:val="▪"/>
      <w:lvlJc w:val="left"/>
      <w:pPr>
        <w:ind w:left="2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F0FE80">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46B8D6">
      <w:start w:val="1"/>
      <w:numFmt w:val="bullet"/>
      <w:lvlText w:val="o"/>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048756">
      <w:start w:val="1"/>
      <w:numFmt w:val="bullet"/>
      <w:lvlText w:val="▪"/>
      <w:lvlJc w:val="left"/>
      <w:pPr>
        <w:ind w:left="4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B6BD40">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4E50E">
      <w:start w:val="1"/>
      <w:numFmt w:val="bullet"/>
      <w:lvlText w:val="o"/>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C66506">
      <w:start w:val="1"/>
      <w:numFmt w:val="bullet"/>
      <w:lvlText w:val="▪"/>
      <w:lvlJc w:val="left"/>
      <w:pPr>
        <w:ind w:left="6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B094DE1"/>
    <w:multiLevelType w:val="hybridMultilevel"/>
    <w:tmpl w:val="792AC29C"/>
    <w:lvl w:ilvl="0" w:tplc="FB0A5202">
      <w:start w:val="1"/>
      <w:numFmt w:val="decimal"/>
      <w:lvlText w:val="%1)"/>
      <w:lvlJc w:val="left"/>
      <w:pPr>
        <w:ind w:left="502" w:hanging="360"/>
      </w:pPr>
      <w:rPr>
        <w:rFonts w:eastAsia="Times New Roman" w:hint="default"/>
        <w:b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29"/>
  </w:num>
  <w:num w:numId="2">
    <w:abstractNumId w:val="2"/>
  </w:num>
  <w:num w:numId="3">
    <w:abstractNumId w:val="14"/>
  </w:num>
  <w:num w:numId="4">
    <w:abstractNumId w:val="6"/>
  </w:num>
  <w:num w:numId="5">
    <w:abstractNumId w:val="28"/>
  </w:num>
  <w:num w:numId="6">
    <w:abstractNumId w:val="5"/>
  </w:num>
  <w:num w:numId="7">
    <w:abstractNumId w:val="24"/>
  </w:num>
  <w:num w:numId="8">
    <w:abstractNumId w:val="4"/>
  </w:num>
  <w:num w:numId="9">
    <w:abstractNumId w:val="10"/>
  </w:num>
  <w:num w:numId="10">
    <w:abstractNumId w:val="3"/>
  </w:num>
  <w:num w:numId="11">
    <w:abstractNumId w:val="8"/>
  </w:num>
  <w:num w:numId="12">
    <w:abstractNumId w:val="30"/>
  </w:num>
  <w:num w:numId="13">
    <w:abstractNumId w:val="25"/>
  </w:num>
  <w:num w:numId="14">
    <w:abstractNumId w:val="32"/>
  </w:num>
  <w:num w:numId="15">
    <w:abstractNumId w:val="27"/>
  </w:num>
  <w:num w:numId="16">
    <w:abstractNumId w:val="11"/>
  </w:num>
  <w:num w:numId="17">
    <w:abstractNumId w:val="31"/>
  </w:num>
  <w:num w:numId="18">
    <w:abstractNumId w:val="0"/>
  </w:num>
  <w:num w:numId="19">
    <w:abstractNumId w:val="1"/>
  </w:num>
  <w:num w:numId="20">
    <w:abstractNumId w:val="12"/>
  </w:num>
  <w:num w:numId="21">
    <w:abstractNumId w:val="2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8"/>
  </w:num>
  <w:num w:numId="25">
    <w:abstractNumId w:val="19"/>
  </w:num>
  <w:num w:numId="26">
    <w:abstractNumId w:val="7"/>
  </w:num>
  <w:num w:numId="27">
    <w:abstractNumId w:val="9"/>
  </w:num>
  <w:num w:numId="28">
    <w:abstractNumId w:val="16"/>
  </w:num>
  <w:num w:numId="29">
    <w:abstractNumId w:val="20"/>
  </w:num>
  <w:num w:numId="30">
    <w:abstractNumId w:val="33"/>
  </w:num>
  <w:num w:numId="31">
    <w:abstractNumId w:val="13"/>
  </w:num>
  <w:num w:numId="32">
    <w:abstractNumId w:val="26"/>
  </w:num>
  <w:num w:numId="33">
    <w:abstractNumId w:val="1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1E"/>
    <w:rsid w:val="0000128C"/>
    <w:rsid w:val="00003254"/>
    <w:rsid w:val="00005CA8"/>
    <w:rsid w:val="000065E1"/>
    <w:rsid w:val="00015F86"/>
    <w:rsid w:val="00035105"/>
    <w:rsid w:val="00040023"/>
    <w:rsid w:val="00052938"/>
    <w:rsid w:val="00074EDA"/>
    <w:rsid w:val="000824DA"/>
    <w:rsid w:val="00091964"/>
    <w:rsid w:val="00093B75"/>
    <w:rsid w:val="000B723A"/>
    <w:rsid w:val="000C5044"/>
    <w:rsid w:val="000D515B"/>
    <w:rsid w:val="000D761E"/>
    <w:rsid w:val="000E352F"/>
    <w:rsid w:val="001247C9"/>
    <w:rsid w:val="00141769"/>
    <w:rsid w:val="00146B5C"/>
    <w:rsid w:val="001518FE"/>
    <w:rsid w:val="00172804"/>
    <w:rsid w:val="00174863"/>
    <w:rsid w:val="001824CB"/>
    <w:rsid w:val="001B24A0"/>
    <w:rsid w:val="001F1D15"/>
    <w:rsid w:val="001F5E8F"/>
    <w:rsid w:val="00231D6A"/>
    <w:rsid w:val="00235B0A"/>
    <w:rsid w:val="002740AE"/>
    <w:rsid w:val="002B491D"/>
    <w:rsid w:val="002C5FFD"/>
    <w:rsid w:val="002C7A52"/>
    <w:rsid w:val="00302CF6"/>
    <w:rsid w:val="00342C10"/>
    <w:rsid w:val="00376B31"/>
    <w:rsid w:val="003B64E5"/>
    <w:rsid w:val="003D0F25"/>
    <w:rsid w:val="0040661B"/>
    <w:rsid w:val="0041363B"/>
    <w:rsid w:val="004144B1"/>
    <w:rsid w:val="00437D58"/>
    <w:rsid w:val="00441153"/>
    <w:rsid w:val="004568CE"/>
    <w:rsid w:val="004C631B"/>
    <w:rsid w:val="004F18B3"/>
    <w:rsid w:val="00503687"/>
    <w:rsid w:val="00530BC1"/>
    <w:rsid w:val="00597A56"/>
    <w:rsid w:val="005C03D7"/>
    <w:rsid w:val="005F1FD8"/>
    <w:rsid w:val="005F3A6E"/>
    <w:rsid w:val="00607F88"/>
    <w:rsid w:val="0067043A"/>
    <w:rsid w:val="00721F5B"/>
    <w:rsid w:val="007307E6"/>
    <w:rsid w:val="00731D46"/>
    <w:rsid w:val="0073737D"/>
    <w:rsid w:val="007562C2"/>
    <w:rsid w:val="0078708E"/>
    <w:rsid w:val="0079733F"/>
    <w:rsid w:val="0086467C"/>
    <w:rsid w:val="008D1936"/>
    <w:rsid w:val="008D3FFB"/>
    <w:rsid w:val="008E53B6"/>
    <w:rsid w:val="00912219"/>
    <w:rsid w:val="00912C02"/>
    <w:rsid w:val="00915B14"/>
    <w:rsid w:val="00922153"/>
    <w:rsid w:val="00930809"/>
    <w:rsid w:val="009412F1"/>
    <w:rsid w:val="00971A12"/>
    <w:rsid w:val="00990D88"/>
    <w:rsid w:val="009A59C9"/>
    <w:rsid w:val="009D0CBE"/>
    <w:rsid w:val="009F0562"/>
    <w:rsid w:val="00A07BB1"/>
    <w:rsid w:val="00A14BDD"/>
    <w:rsid w:val="00A17AD2"/>
    <w:rsid w:val="00A21D67"/>
    <w:rsid w:val="00A72C7F"/>
    <w:rsid w:val="00A7574B"/>
    <w:rsid w:val="00AD1635"/>
    <w:rsid w:val="00AE6E7F"/>
    <w:rsid w:val="00AF15BD"/>
    <w:rsid w:val="00B609D1"/>
    <w:rsid w:val="00B61055"/>
    <w:rsid w:val="00B7253A"/>
    <w:rsid w:val="00BC3835"/>
    <w:rsid w:val="00BD1455"/>
    <w:rsid w:val="00C15E6F"/>
    <w:rsid w:val="00C274C5"/>
    <w:rsid w:val="00CB6FE6"/>
    <w:rsid w:val="00CD07D3"/>
    <w:rsid w:val="00CD1875"/>
    <w:rsid w:val="00CD291A"/>
    <w:rsid w:val="00D04001"/>
    <w:rsid w:val="00D10C73"/>
    <w:rsid w:val="00D411F4"/>
    <w:rsid w:val="00D50092"/>
    <w:rsid w:val="00D559BA"/>
    <w:rsid w:val="00D724A8"/>
    <w:rsid w:val="00D760BF"/>
    <w:rsid w:val="00DB1E48"/>
    <w:rsid w:val="00DB5F0B"/>
    <w:rsid w:val="00DF5047"/>
    <w:rsid w:val="00E34462"/>
    <w:rsid w:val="00E4065A"/>
    <w:rsid w:val="00E467E2"/>
    <w:rsid w:val="00E542BE"/>
    <w:rsid w:val="00E61684"/>
    <w:rsid w:val="00EC46E1"/>
    <w:rsid w:val="00F056F2"/>
    <w:rsid w:val="00F21089"/>
    <w:rsid w:val="00F44C63"/>
    <w:rsid w:val="00F825BF"/>
    <w:rsid w:val="00FA3FD6"/>
    <w:rsid w:val="00FE7E5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BE4A29"/>
  <w15:docId w15:val="{7051A2B2-A74F-479E-9572-97256FA2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40023"/>
    <w:rPr>
      <w:rFonts w:ascii="Calibri" w:hAnsi="Calibri" w:cs="Arial Unicode MS"/>
      <w:b/>
      <w:bCs/>
      <w:color w:val="000000"/>
      <w:u w:color="000000"/>
    </w:rPr>
  </w:style>
  <w:style w:type="paragraph" w:styleId="Titolo1">
    <w:name w:val="heading 1"/>
    <w:next w:val="Normale"/>
    <w:link w:val="Titolo1Carattere"/>
    <w:uiPriority w:val="9"/>
    <w:qFormat/>
    <w:rsid w:val="00915B1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hanging="10"/>
      <w:outlineLvl w:val="0"/>
    </w:pPr>
    <w:rPr>
      <w:rFonts w:ascii="Arial" w:eastAsia="Arial" w:hAnsi="Arial" w:cs="Arial"/>
      <w:b/>
      <w:color w:val="000000"/>
      <w:sz w:val="18"/>
      <w:szCs w:val="22"/>
      <w:bdr w:val="none" w:sz="0" w:space="0" w:color="auto"/>
    </w:rPr>
  </w:style>
  <w:style w:type="paragraph" w:styleId="Titolo2">
    <w:name w:val="heading 2"/>
    <w:basedOn w:val="Normale"/>
    <w:next w:val="Normale"/>
    <w:link w:val="Titolo2Carattere"/>
    <w:uiPriority w:val="9"/>
    <w:unhideWhenUsed/>
    <w:qFormat/>
    <w:rsid w:val="00A14B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A14B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Arial" w:eastAsia="Arial" w:hAnsi="Arial" w:cs="Arial"/>
      <w:color w:val="0000FF"/>
      <w:sz w:val="18"/>
      <w:szCs w:val="18"/>
      <w:u w:val="single" w:color="0000FF"/>
      <w14:textOutline w14:w="0" w14:cap="rnd" w14:cmpd="sng" w14:algn="ctr">
        <w14:noFill/>
        <w14:prstDash w14:val="solid"/>
        <w14:bevel/>
      </w14:textOutline>
    </w:rPr>
  </w:style>
  <w:style w:type="paragraph" w:customStyle="1" w:styleId="Testopredefi">
    <w:name w:val="Testo predefi"/>
    <w:pPr>
      <w:widowControl w:val="0"/>
    </w:pPr>
    <w:rPr>
      <w:rFonts w:eastAsia="Times New Roman"/>
      <w:color w:val="000000"/>
      <w:sz w:val="24"/>
      <w:szCs w:val="24"/>
      <w:u w:color="000000"/>
    </w:rPr>
  </w:style>
  <w:style w:type="character" w:customStyle="1" w:styleId="Hyperlink1">
    <w:name w:val="Hyperlink.1"/>
    <w:basedOn w:val="Collegamentoipertestuale"/>
    <w:rPr>
      <w:color w:val="0000FF"/>
      <w:u w:val="single" w:color="0000FF"/>
      <w14:textOutline w14:w="0" w14:cap="rnd" w14:cmpd="sng" w14:algn="ctr">
        <w14:noFill/>
        <w14:prstDash w14:val="solid"/>
        <w14:bevel/>
      </w14:textOutline>
    </w:rPr>
  </w:style>
  <w:style w:type="numbering" w:customStyle="1" w:styleId="Stileimportato1">
    <w:name w:val="Stile importato 1"/>
    <w:pPr>
      <w:numPr>
        <w:numId w:val="1"/>
      </w:numPr>
    </w:pPr>
  </w:style>
  <w:style w:type="paragraph" w:customStyle="1" w:styleId="Predefinito">
    <w:name w:val="Predefinito"/>
    <w:pPr>
      <w:widowControl w:val="0"/>
      <w:spacing w:after="200" w:line="276" w:lineRule="auto"/>
    </w:pPr>
    <w:rPr>
      <w:rFonts w:ascii="Calibri" w:hAnsi="Calibri" w:cs="Arial Unicode MS"/>
      <w:color w:val="000000"/>
      <w:sz w:val="22"/>
      <w:szCs w:val="22"/>
      <w:u w:color="000000"/>
    </w:rPr>
  </w:style>
  <w:style w:type="paragraph" w:styleId="Paragrafoelenco">
    <w:name w:val="List Paragraph"/>
    <w:basedOn w:val="Normale"/>
    <w:uiPriority w:val="34"/>
    <w:qFormat/>
    <w:rsid w:val="00174863"/>
    <w:pPr>
      <w:ind w:left="720"/>
      <w:contextualSpacing/>
    </w:pPr>
  </w:style>
  <w:style w:type="paragraph" w:styleId="Nessunaspaziatura">
    <w:name w:val="No Spacing"/>
    <w:uiPriority w:val="1"/>
    <w:qFormat/>
    <w:rsid w:val="000E352F"/>
    <w:rPr>
      <w:rFonts w:ascii="Calibri" w:hAnsi="Calibri" w:cs="Arial Unicode MS"/>
      <w:b/>
      <w:bCs/>
      <w:color w:val="000000"/>
      <w:u w:color="000000"/>
    </w:rPr>
  </w:style>
  <w:style w:type="table" w:customStyle="1" w:styleId="TableGrid">
    <w:name w:val="TableGrid"/>
    <w:rsid w:val="00005CA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915B14"/>
    <w:rPr>
      <w:rFonts w:ascii="Arial" w:eastAsia="Arial" w:hAnsi="Arial" w:cs="Arial"/>
      <w:b/>
      <w:color w:val="000000"/>
      <w:sz w:val="18"/>
      <w:szCs w:val="22"/>
      <w:bdr w:val="none" w:sz="0" w:space="0" w:color="auto"/>
    </w:rPr>
  </w:style>
  <w:style w:type="paragraph" w:styleId="Intestazione">
    <w:name w:val="header"/>
    <w:basedOn w:val="Normale"/>
    <w:link w:val="IntestazioneCarattere"/>
    <w:uiPriority w:val="99"/>
    <w:unhideWhenUsed/>
    <w:rsid w:val="004F18B3"/>
    <w:pPr>
      <w:tabs>
        <w:tab w:val="center" w:pos="4819"/>
        <w:tab w:val="right" w:pos="9638"/>
      </w:tabs>
    </w:pPr>
  </w:style>
  <w:style w:type="character" w:customStyle="1" w:styleId="IntestazioneCarattere">
    <w:name w:val="Intestazione Carattere"/>
    <w:basedOn w:val="Carpredefinitoparagrafo"/>
    <w:link w:val="Intestazione"/>
    <w:uiPriority w:val="99"/>
    <w:rsid w:val="004F18B3"/>
    <w:rPr>
      <w:rFonts w:ascii="Calibri" w:hAnsi="Calibri" w:cs="Arial Unicode MS"/>
      <w:b/>
      <w:bCs/>
      <w:color w:val="000000"/>
      <w:u w:color="000000"/>
    </w:rPr>
  </w:style>
  <w:style w:type="paragraph" w:styleId="Pidipagina">
    <w:name w:val="footer"/>
    <w:basedOn w:val="Normale"/>
    <w:link w:val="PidipaginaCarattere"/>
    <w:uiPriority w:val="99"/>
    <w:unhideWhenUsed/>
    <w:rsid w:val="004F18B3"/>
    <w:pPr>
      <w:tabs>
        <w:tab w:val="center" w:pos="4819"/>
        <w:tab w:val="right" w:pos="9638"/>
      </w:tabs>
    </w:pPr>
  </w:style>
  <w:style w:type="character" w:customStyle="1" w:styleId="PidipaginaCarattere">
    <w:name w:val="Piè di pagina Carattere"/>
    <w:basedOn w:val="Carpredefinitoparagrafo"/>
    <w:link w:val="Pidipagina"/>
    <w:uiPriority w:val="99"/>
    <w:rsid w:val="004F18B3"/>
    <w:rPr>
      <w:rFonts w:ascii="Calibri" w:hAnsi="Calibri" w:cs="Arial Unicode MS"/>
      <w:b/>
      <w:bCs/>
      <w:color w:val="000000"/>
      <w:u w:color="000000"/>
    </w:rPr>
  </w:style>
  <w:style w:type="table" w:customStyle="1" w:styleId="TableGrid1">
    <w:name w:val="TableGrid1"/>
    <w:rsid w:val="00D559B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Corpotesto">
    <w:name w:val="Body Text"/>
    <w:basedOn w:val="Normale"/>
    <w:link w:val="CorpotestoCarattere"/>
    <w:uiPriority w:val="1"/>
    <w:qFormat/>
    <w:rsid w:val="000529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mbria" w:eastAsia="Times New Roman" w:hAnsi="Cambria" w:cs="Cambria"/>
      <w:b w:val="0"/>
      <w:bCs w:val="0"/>
      <w:color w:val="auto"/>
      <w:sz w:val="24"/>
      <w:szCs w:val="24"/>
      <w:bdr w:val="none" w:sz="0" w:space="0" w:color="auto"/>
      <w:lang w:eastAsia="en-US"/>
    </w:rPr>
  </w:style>
  <w:style w:type="character" w:customStyle="1" w:styleId="CorpotestoCarattere">
    <w:name w:val="Corpo testo Carattere"/>
    <w:basedOn w:val="Carpredefinitoparagrafo"/>
    <w:link w:val="Corpotesto"/>
    <w:uiPriority w:val="1"/>
    <w:rsid w:val="00052938"/>
    <w:rPr>
      <w:rFonts w:ascii="Cambria" w:eastAsia="Times New Roman" w:hAnsi="Cambria" w:cs="Cambria"/>
      <w:sz w:val="24"/>
      <w:szCs w:val="24"/>
      <w:bdr w:val="none" w:sz="0" w:space="0" w:color="auto"/>
      <w:lang w:eastAsia="en-US"/>
    </w:rPr>
  </w:style>
  <w:style w:type="table" w:styleId="Grigliatabella">
    <w:name w:val="Table Grid"/>
    <w:basedOn w:val="Tabellanormale"/>
    <w:uiPriority w:val="39"/>
    <w:rsid w:val="000529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A14BDD"/>
    <w:rPr>
      <w:rFonts w:asciiTheme="majorHAnsi" w:eastAsiaTheme="majorEastAsia" w:hAnsiTheme="majorHAnsi" w:cstheme="majorBidi"/>
      <w:b/>
      <w:bCs/>
      <w:color w:val="365F91" w:themeColor="accent1" w:themeShade="BF"/>
      <w:sz w:val="26"/>
      <w:szCs w:val="26"/>
      <w:u w:color="000000"/>
    </w:rPr>
  </w:style>
  <w:style w:type="character" w:customStyle="1" w:styleId="Titolo3Carattere">
    <w:name w:val="Titolo 3 Carattere"/>
    <w:basedOn w:val="Carpredefinitoparagrafo"/>
    <w:link w:val="Titolo3"/>
    <w:uiPriority w:val="9"/>
    <w:rsid w:val="00A14BDD"/>
    <w:rPr>
      <w:rFonts w:asciiTheme="majorHAnsi" w:eastAsiaTheme="majorEastAsia" w:hAnsiTheme="majorHAnsi" w:cstheme="majorBidi"/>
      <w:b/>
      <w:bCs/>
      <w:color w:val="243F60" w:themeColor="accent1" w:themeShade="7F"/>
      <w:sz w:val="24"/>
      <w:szCs w:val="24"/>
      <w:u w:color="000000"/>
    </w:rPr>
  </w:style>
  <w:style w:type="character" w:styleId="Enfasigrassetto">
    <w:name w:val="Strong"/>
    <w:basedOn w:val="Carpredefinitoparagrafo"/>
    <w:uiPriority w:val="22"/>
    <w:qFormat/>
    <w:rsid w:val="00A14BDD"/>
    <w:rPr>
      <w:b/>
      <w:bCs/>
    </w:rPr>
  </w:style>
  <w:style w:type="table" w:customStyle="1" w:styleId="Grigliatabella1">
    <w:name w:val="Griglia tabella1"/>
    <w:basedOn w:val="Tabellanormale"/>
    <w:next w:val="Grigliatabella"/>
    <w:rsid w:val="001B24A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4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40380">
      <w:bodyDiv w:val="1"/>
      <w:marLeft w:val="0"/>
      <w:marRight w:val="0"/>
      <w:marTop w:val="0"/>
      <w:marBottom w:val="0"/>
      <w:divBdr>
        <w:top w:val="none" w:sz="0" w:space="0" w:color="auto"/>
        <w:left w:val="none" w:sz="0" w:space="0" w:color="auto"/>
        <w:bottom w:val="none" w:sz="0" w:space="0" w:color="auto"/>
        <w:right w:val="none" w:sz="0" w:space="0" w:color="auto"/>
      </w:divBdr>
    </w:div>
    <w:div w:id="53369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piatrieste.scuole.cine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MM042005@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SMM042005@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F3978-FC3C-45F4-96F4-732051E6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3418</Words>
  <Characters>19487</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DSGA</dc:creator>
  <cp:lastModifiedBy>Patrizia Contento</cp:lastModifiedBy>
  <cp:revision>3</cp:revision>
  <cp:lastPrinted>2025-02-26T21:34:00Z</cp:lastPrinted>
  <dcterms:created xsi:type="dcterms:W3CDTF">2025-02-26T21:33:00Z</dcterms:created>
  <dcterms:modified xsi:type="dcterms:W3CDTF">2025-02-26T21:35:00Z</dcterms:modified>
</cp:coreProperties>
</file>