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SCHEMA CAPITOLATO TECNICO PER L’AFFIDAMENTO DEL SERVIZIO DI CASSA A FAVORE DELL’ISTITUTO COMPRENSIVO DI PREGANZIOL</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Definizioni</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Allegato Tecnico</w:t>
      </w:r>
      <w:r>
        <w:rPr>
          <w:rFonts w:ascii="Times New Roman" w:hAnsi="Times New Roman"/>
          <w:color w:val="000000"/>
          <w:sz w:val="24"/>
          <w:szCs w:val="24"/>
        </w:rPr>
        <w:t xml:space="preserve">: Linee Guida di DigitPA del 21 luglio 2011 recanti l’“Aggiornamento dello standard OIL – Applicazione alle Istituzioni Scolastiche”.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Convenzione</w:t>
      </w:r>
      <w:r>
        <w:rPr>
          <w:rFonts w:ascii="Times New Roman" w:hAnsi="Times New Roman"/>
          <w:color w:val="000000"/>
          <w:sz w:val="24"/>
          <w:szCs w:val="24"/>
        </w:rPr>
        <w:t>: il documento che viene stipulato con l’Aggiudicatario della presente procedura,</w:t>
        <w:br/>
        <w:t xml:space="preserve">il quale espone gli obblighi e i diritti che intercorrono reciprocamente tra l’Istituto e il Gestore.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D.I. 44/2001</w:t>
      </w:r>
      <w:r>
        <w:rPr>
          <w:rFonts w:ascii="Times New Roman" w:hAnsi="Times New Roman"/>
          <w:color w:val="000000"/>
          <w:sz w:val="24"/>
          <w:szCs w:val="24"/>
        </w:rPr>
        <w:t xml:space="preserve">: Decreto Interministeriale n. 44 del 2001, Regolamento concernente le “Istruzioni generali sulla gestione amministrativo-contabile delle Istituzioni Scolastiche”.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D.L. 95/2012</w:t>
      </w:r>
      <w:r>
        <w:rPr>
          <w:rFonts w:ascii="Times New Roman" w:hAnsi="Times New Roman"/>
          <w:color w:val="000000"/>
          <w:sz w:val="24"/>
          <w:szCs w:val="24"/>
        </w:rPr>
        <w:t xml:space="preserve">: Decreto Legge n. 95 del 6 luglio 2012 convertito nella legge 135/2012, Disposizioni urgenti per la revisione della spesa pubblica con invarianza dei servizi ai cittadini.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D.M. 22 novembre 1985</w:t>
      </w:r>
      <w:r>
        <w:rPr>
          <w:rFonts w:ascii="Times New Roman" w:hAnsi="Times New Roman"/>
          <w:color w:val="000000"/>
          <w:sz w:val="24"/>
          <w:szCs w:val="24"/>
        </w:rPr>
        <w:t xml:space="preserve">: Decreto Ministeriale del 22 novembre 1985, Entrata in vigore del sistema di tesoreria unica, Ministero del Tesoro.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D.M. 4 agosto 2009</w:t>
      </w:r>
      <w:r>
        <w:rPr>
          <w:rFonts w:ascii="Times New Roman" w:hAnsi="Times New Roman"/>
          <w:color w:val="000000"/>
          <w:sz w:val="24"/>
          <w:szCs w:val="24"/>
        </w:rPr>
        <w:t xml:space="preserve">: Decreto Ministeriale del 4 agosto 2009, Nuove modalità di regolamento telematico dei rapporti tra tesorieri e cassieri degli Enti ed organismi di cui alla tabella A allegata alla legge 29 ottobre 1984, n. 720, e la Tesoreria dello Stato, Ministero dell’Economia e delle Finanze.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Decreto MEF 27 aprile 2012</w:t>
      </w:r>
      <w:r>
        <w:rPr>
          <w:rFonts w:ascii="Times New Roman" w:hAnsi="Times New Roman"/>
          <w:color w:val="000000"/>
          <w:sz w:val="24"/>
          <w:szCs w:val="24"/>
        </w:rPr>
        <w:t xml:space="preserve">: Decreto del Ministero dell’Economia e delle Finanze del 27 aprile 2012, in tema di Tesoreria Unica.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Direttore dei Servizi Generali ed Amministrativi (DSGA)</w:t>
      </w:r>
      <w:r>
        <w:rPr>
          <w:rFonts w:ascii="Times New Roman" w:hAnsi="Times New Roman"/>
          <w:color w:val="000000"/>
          <w:sz w:val="24"/>
          <w:szCs w:val="24"/>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Dirigente Scolastico (DS)</w:t>
      </w:r>
      <w:r>
        <w:rPr>
          <w:rFonts w:ascii="Times New Roman" w:hAnsi="Times New Roman"/>
          <w:color w:val="000000"/>
          <w:sz w:val="24"/>
          <w:szCs w:val="24"/>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Firma digitale</w:t>
      </w:r>
      <w:r>
        <w:rPr>
          <w:rFonts w:ascii="Times New Roman" w:hAnsi="Times New Roman"/>
          <w:color w:val="000000"/>
          <w:sz w:val="24"/>
          <w:szCs w:val="24"/>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D.Lgs. n. 82 del 7 marzo 2005 e relative norme di attuazione ed esecuzione.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Gestore</w:t>
      </w:r>
      <w:r>
        <w:rPr>
          <w:rFonts w:ascii="Times New Roman" w:hAnsi="Times New Roman"/>
          <w:color w:val="000000"/>
          <w:sz w:val="24"/>
          <w:szCs w:val="24"/>
        </w:rPr>
        <w:t xml:space="preserve">: il soggetto - Banca o Poste Italiane S.p.A – cui, in caso di aggiudicazione e successiva sottoscrizione della Convenzione, sarà affidato il servizio.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Accordi/protocolli</w:t>
      </w:r>
      <w:r>
        <w:rPr>
          <w:rFonts w:ascii="Times New Roman" w:hAnsi="Times New Roman"/>
          <w:color w:val="000000"/>
          <w:sz w:val="24"/>
          <w:szCs w:val="24"/>
        </w:rPr>
        <w:t xml:space="preserve">: quanto concordato nei rispettivi tavoli tecnici con ABI e con Poste Italiane S.p.A.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Istituto</w:t>
      </w:r>
      <w:r>
        <w:rPr>
          <w:rFonts w:ascii="Times New Roman" w:hAnsi="Times New Roman"/>
          <w:color w:val="000000"/>
          <w:sz w:val="24"/>
          <w:szCs w:val="24"/>
        </w:rPr>
        <w:t xml:space="preserve">: Istituzione Scolastica : Istituto Comprensivo di Preganziol.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Legge 720/1984</w:t>
      </w:r>
      <w:r>
        <w:rPr>
          <w:rFonts w:ascii="Times New Roman" w:hAnsi="Times New Roman"/>
          <w:color w:val="000000"/>
          <w:sz w:val="24"/>
          <w:szCs w:val="24"/>
        </w:rPr>
        <w:t xml:space="preserve">: legge del 29 ottobre 1984, n. 720, Istituzione del sistema di tesoreria unica per enti ed organismi pubblici.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MIUR</w:t>
      </w:r>
      <w:r>
        <w:rPr>
          <w:rFonts w:ascii="Times New Roman" w:hAnsi="Times New Roman"/>
          <w:color w:val="000000"/>
          <w:sz w:val="24"/>
          <w:szCs w:val="24"/>
        </w:rPr>
        <w:t xml:space="preserve">: Ministero dell’Istruzione dell’Università e della Ricerca.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i/>
          <w:iCs/>
          <w:color w:val="000000"/>
          <w:sz w:val="24"/>
          <w:szCs w:val="24"/>
        </w:rPr>
        <w:t>[Rete Scuole</w:t>
      </w:r>
      <w:r>
        <w:rPr>
          <w:rFonts w:ascii="Times New Roman" w:hAnsi="Times New Roman"/>
          <w:i/>
          <w:iCs/>
          <w:color w:val="000000"/>
          <w:sz w:val="24"/>
          <w:szCs w:val="24"/>
        </w:rPr>
        <w:t>: Istituzioni Scolastiche che stipulano accordi di rete o aderiscono ad essi per il raggiungimento della proprie finalità istituzionali ivi comprese le attività di acquisto di beni e servizi (art. 7, 2° comma, del d.P.R. n. 275 dell’8 marzo 1999, «Regolamento recante norme in materia di autonomia delle istituzioni scolastiche, ai sensi dell'art. 21 della L. 15 marzo 1997, n. 59») ferma restando l’autonomia dei singoli bilanci.]</w:t>
      </w:r>
      <w:r>
        <w:rPr>
          <w:rFonts w:ascii="Times New Roman" w:hAnsi="Times New Roman"/>
          <w:color w:val="000000"/>
          <w:sz w:val="24"/>
          <w:szCs w:val="24"/>
        </w:rPr>
        <w:t xml:space="preserve"> </w:t>
      </w:r>
    </w:p>
    <w:p>
      <w:pPr>
        <w:pStyle w:val="Normal"/>
        <w:numPr>
          <w:ilvl w:val="0"/>
          <w:numId w:val="1"/>
        </w:numPr>
        <w:spacing w:lineRule="auto" w:line="240" w:beforeAutospacing="1" w:afterAutospacing="1"/>
        <w:jc w:val="both"/>
        <w:rPr>
          <w:rFonts w:ascii="Times New Roman" w:hAnsi="Times New Roman"/>
          <w:color w:val="000000"/>
          <w:sz w:val="24"/>
          <w:szCs w:val="24"/>
        </w:rPr>
      </w:pPr>
      <w:r>
        <w:rPr>
          <w:rFonts w:ascii="Times New Roman" w:hAnsi="Times New Roman"/>
          <w:b/>
          <w:bCs/>
          <w:color w:val="000000"/>
          <w:sz w:val="24"/>
          <w:szCs w:val="24"/>
        </w:rPr>
        <w:t>Servizio di cassa</w:t>
      </w:r>
      <w:r>
        <w:rPr>
          <w:rFonts w:ascii="Times New Roman" w:hAnsi="Times New Roman"/>
          <w:color w:val="000000"/>
          <w:sz w:val="24"/>
          <w:szCs w:val="24"/>
        </w:rPr>
        <w:t>: il servizio oggetto del presente capitolato è conforme a quanto previsto allo Schema di Convenzione nonché al D. I. 44/2001.</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1. Premessa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presente Capitolato ha ad oggetto i servizi di cui allo Schema di Convenzione, necessari per la gestione del servizio di cassa a favore dell’Istituto.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Di seguito si rappresentano gli elementi caratterizzanti l’Istituto /</w:t>
      </w:r>
      <w:r>
        <w:rPr>
          <w:rFonts w:ascii="Times New Roman" w:hAnsi="Times New Roman"/>
          <w:i/>
          <w:iCs/>
          <w:color w:val="000000"/>
          <w:sz w:val="24"/>
          <w:szCs w:val="24"/>
        </w:rPr>
        <w:t>[Rete Scuole]</w:t>
      </w:r>
      <w:r>
        <w:rPr>
          <w:rFonts w:ascii="Times New Roman" w:hAnsi="Times New Roman"/>
          <w:color w:val="000000"/>
          <w:sz w:val="24"/>
          <w:szCs w:val="24"/>
        </w:rPr>
        <w:t>:</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i/>
          <w:iCs/>
          <w:color w:val="000000"/>
          <w:sz w:val="24"/>
          <w:szCs w:val="24"/>
        </w:rPr>
        <w:t>[n. Istituzioni Scolastiche aderenti alla Rete Scuole: [ ]</w:t>
      </w:r>
      <w:r>
        <w:rPr>
          <w:rFonts w:ascii="Times New Roman" w:hAnsi="Times New Roman"/>
          <w:color w:val="000000"/>
          <w:sz w:val="24"/>
          <w:szCs w:val="24"/>
        </w:rPr>
        <w:t xml:space="preserve">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dotazione ordinaria ultimo anno 2018: [33.130,00]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n. mandati emessi anno 2017: [428]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n. reversali incassate anno 2017: [145]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titoli e valori da amministrare: [ / ]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n. progetti europei ultimo anno e ultimo triennio : [2]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importo complessivo progetti europei ultimo anno e ultimo triennio: [37.000]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n. alunni: [ 1318 ] </w:t>
      </w:r>
    </w:p>
    <w:p>
      <w:pPr>
        <w:pStyle w:val="Normal"/>
        <w:numPr>
          <w:ilvl w:val="0"/>
          <w:numId w:val="2"/>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 personale dipendente: [146]</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Si precisa che l’esercizio finanziario degli Istituti Scolastici ha durata annuale, con inizio il 1° gennaio e termine il 31 dicembre di ciascun anno.</w:t>
      </w:r>
    </w:p>
    <w:p>
      <w:pPr>
        <w:pStyle w:val="Normal"/>
        <w:spacing w:lineRule="auto" w:line="240" w:beforeAutospacing="1" w:afterAutospacing="1"/>
        <w:jc w:val="both"/>
        <w:rPr/>
      </w:pPr>
      <w:r>
        <w:rPr>
          <w:rFonts w:ascii="Times New Roman" w:hAnsi="Times New Roman"/>
          <w:color w:val="000000"/>
          <w:sz w:val="24"/>
          <w:szCs w:val="24"/>
        </w:rPr>
        <w:t xml:space="preserve">Si precisa inoltre che gli Istituti Scolastici, ai sensi del D.L. 95/2012 convertito nella legge 135/2012, si intendono inclusi nella tabella A annessa alla legge 720/1984 e pertanto sottoposti a regime di Tesoreria Unica di cui alla medesima legge </w:t>
      </w:r>
      <w:hyperlink r:id="rId2">
        <w:r>
          <w:rPr>
            <w:rStyle w:val="CollegamentoInternet"/>
            <w:rFonts w:ascii="Times New Roman" w:hAnsi="Times New Roman"/>
            <w:color w:val="000000"/>
            <w:sz w:val="24"/>
            <w:szCs w:val="24"/>
            <w:u w:val="single"/>
          </w:rPr>
          <w:t>ss. mm</w:t>
        </w:r>
      </w:hyperlink>
      <w:r>
        <w:rPr>
          <w:rFonts w:ascii="Times New Roman" w:hAnsi="Times New Roman"/>
          <w:color w:val="000000"/>
          <w:sz w:val="24"/>
          <w:szCs w:val="24"/>
        </w:rPr>
        <w:t xml:space="preserve">. e ii., nonché ai decreti attuativi del 22 novembre 1985, 4 agosto 2009 e 27 aprile 2012 </w:t>
      </w:r>
      <w:hyperlink r:id="rId3">
        <w:r>
          <w:rPr>
            <w:rStyle w:val="CollegamentoInternet"/>
            <w:rFonts w:ascii="Times New Roman" w:hAnsi="Times New Roman"/>
            <w:color w:val="000000"/>
            <w:sz w:val="24"/>
            <w:szCs w:val="24"/>
            <w:u w:val="single"/>
          </w:rPr>
          <w:t>ss. mm</w:t>
        </w:r>
      </w:hyperlink>
      <w:r>
        <w:rPr>
          <w:rFonts w:ascii="Times New Roman" w:hAnsi="Times New Roman"/>
          <w:color w:val="000000"/>
          <w:sz w:val="24"/>
          <w:szCs w:val="24"/>
        </w:rPr>
        <w:t>. e ii..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i/>
          <w:iCs/>
          <w:color w:val="000000"/>
          <w:sz w:val="24"/>
          <w:szCs w:val="24"/>
        </w:rPr>
        <w:t>[Il Gestore aggiudicatario della procedura si impegna a svolgere i servizi richiesti dai singoli Istituti facenti parte della Rete Scolastica alle condizioni tecnico/economiche di aggiudicazione.]</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 Oggetto dell’Appalto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Oggetto dell’Appalto è l’affidamento della gestione del servizio di cassa per un periodo di 48 (quarantotto) mesi, comprensivo dei servizi di seguito descritti, per alcuni dei quali le scuole potranno richiedere facoltativamente l’attivazione, tra cui la riscossione delle entrate e il pagamento delle spese facenti capo all’Istituto e dallo stesso ordinate, la custodia e amministrazione dei titoli e valori, il rilascio di carte di credito, e prepagate, i servizi di anticipazione di cassa e di apertura di credito finalizzate alla realizzazione di progetti formativi, l’attivazione di strumenti evoluti di incasso.</w:t>
      </w:r>
    </w:p>
    <w:p>
      <w:pPr>
        <w:pStyle w:val="Normal"/>
        <w:spacing w:lineRule="auto" w:line="240" w:beforeAutospacing="1" w:afterAutospacing="1"/>
        <w:jc w:val="both"/>
        <w:rPr/>
      </w:pPr>
      <w:r>
        <w:rPr>
          <w:rFonts w:ascii="Times New Roman" w:hAnsi="Times New Roman"/>
          <w:color w:val="000000"/>
          <w:sz w:val="24"/>
          <w:szCs w:val="24"/>
        </w:rPr>
        <w:t xml:space="preserve">Nel corso della durata contrattuale, relativamente alle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 contributo pubblico (cfr. D.M. 22 Novembre 1985 </w:t>
      </w:r>
      <w:hyperlink r:id="rId4">
        <w:r>
          <w:rPr>
            <w:rStyle w:val="CollegamentoInternet"/>
            <w:rFonts w:ascii="Times New Roman" w:hAnsi="Times New Roman"/>
            <w:color w:val="000000"/>
            <w:sz w:val="24"/>
            <w:szCs w:val="24"/>
            <w:u w:val="single"/>
          </w:rPr>
          <w:t>ss. mm</w:t>
        </w:r>
      </w:hyperlink>
      <w:r>
        <w:rPr>
          <w:rFonts w:ascii="Times New Roman" w:hAnsi="Times New Roman"/>
          <w:color w:val="000000"/>
          <w:sz w:val="24"/>
          <w:szCs w:val="24"/>
        </w:rPr>
        <w:t>. e ii), è facoltà dell’Istituto richiedere al Gestore servizi consulenziali volti a migliorare la redditività delle giacenze concordando con il Gestore tempi e modalità di vincolo delle giacenze stesse.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nell’Allegato tecnico sul formato dei flussi di cui alle Linee Guida di DigitPA del 21 luglio 2011 recanti l’ “Aggiornamento dello standard OIL – Applicazione alle Istituzioni Scolastiche”. L’OIL deve essere comunque sottoscritto con firma digitale.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L’erogazione del servizio mediante OIL rappresenta una prescrizione minima del presente capitolato e s’intende prestato dal Gestore a titolo gratuito, pertanto non saranno ammesse offerte che non prevedano l’utilizzo di tale strumento.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Al fine di garantire l’integrità, la riservatezza, la legittimità e la non ripudiabilità dei documenti trasmessi elettronicamente dall’Istituto, il Gestore si impegna a:</w:t>
      </w:r>
    </w:p>
    <w:p>
      <w:pPr>
        <w:pStyle w:val="Normal"/>
        <w:numPr>
          <w:ilvl w:val="0"/>
          <w:numId w:val="3"/>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mettere a disposizione un sistema di codici personali di accesso per i soggetti individuati dall’Istituto medesimo; </w:t>
      </w:r>
    </w:p>
    <w:p>
      <w:pPr>
        <w:pStyle w:val="Normal"/>
        <w:numPr>
          <w:ilvl w:val="0"/>
          <w:numId w:val="3"/>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fornire gratuitamente non meno di due chiavi e lettori di firma digitale, al fine di consentire all’Istituto di assolvere agli obblighi di firma digitale nell’utilizzo di OIL; </w:t>
      </w:r>
    </w:p>
    <w:p>
      <w:pPr>
        <w:pStyle w:val="Normal"/>
        <w:numPr>
          <w:ilvl w:val="0"/>
          <w:numId w:val="3"/>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attivare il funzionamento e lo scambio dei flussi OIL.</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Nell’ambito dell’offerta tecnica il Gestore dovrà descrivere eventuali servizi aggiuntivi messi a disposizione dell’Istituto, sia a garanzia del più efficiente utilizzo dell’OIL, quale strumento di automazione degli incassi e dei pagamenti, sia per il miglioramento dei processi e degli strumenti di gestione amministrativa, contabile ed organizzativa. Tali servizi potranno riguardare, a mero titolo esemplificativo, attività formative, assistenza e fornitura di strumenti informatici a supporto.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L’Istituto corrisponderà, inoltre, al Gestore il compenso e le spese annue di gestione e tenuta conto, ivi comprese le spese per attività di riscossione (par. 2.1) e di pagamento (par. 2.2), alle quali andranno ad aggiungersi, in conformità all’art. 15 dello Schema di Convenzione, anche le spese di emissione e gestione delle carte di credito (par. 2.3), amministrazione titoli e valori (par. 2.6), nonché l’attivazione dei servizi di </w:t>
      </w:r>
      <w:r>
        <w:rPr>
          <w:rFonts w:ascii="Times New Roman" w:hAnsi="Times New Roman"/>
          <w:i/>
          <w:iCs/>
          <w:color w:val="000000"/>
          <w:sz w:val="24"/>
          <w:szCs w:val="24"/>
        </w:rPr>
        <w:t>remote banking</w:t>
      </w:r>
      <w:r>
        <w:rPr>
          <w:rFonts w:ascii="Times New Roman" w:hAnsi="Times New Roman"/>
          <w:color w:val="000000"/>
          <w:sz w:val="24"/>
          <w:szCs w:val="24"/>
        </w:rPr>
        <w:t>, consentendo all’Istituto di usufruire di informazioni e strumenti, in modo sicuro ed in tempo reale, tramite canali tecnologici, telematici ed elettronici.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La modalità di remunerazione dei servizi sopra elencati e degli ulteriori è di seguito descritta.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L’Istituto, ai sensi dell’art. 13 dello Schema di Convenzione, ha diritto di procedere a verifiche di cassa e dei valori dati in carico ogni qualvolta lo ritenga necessario ed opportuno. Il Gestore deve esibire, ad ogni richiesta, la documentazione informatica e le evidenze contabili relative alla gestione.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dovrà mettere a disposizione dell’Istituto tutti gli sportelli dislocati sul territorio nazionale, al fine di garantire la circolarità delle operazioni di incasso e pagamento presso uno qualsiasi degli stessi.</w:t>
      </w:r>
    </w:p>
    <w:p>
      <w:pPr>
        <w:pStyle w:val="Normal"/>
        <w:spacing w:lineRule="auto" w:line="240" w:beforeAutospacing="1" w:afterAutospacing="1"/>
        <w:jc w:val="both"/>
        <w:rPr/>
      </w:pPr>
      <w:r>
        <w:rPr>
          <w:rFonts w:ascii="Times New Roman" w:hAnsi="Times New Roman"/>
          <w:color w:val="000000"/>
          <w:sz w:val="24"/>
          <w:szCs w:val="24"/>
        </w:rPr>
        <w:t xml:space="preserve">Di seguito sono dettagliatamente descritti i servizi oggetto dell’appalto; resta inteso che gli stessi dovranno essere prestati dal Gestore in conformità al presente Capitolato, allo Schema di Convenzione, al D.I. 44/2001 </w:t>
      </w:r>
      <w:hyperlink r:id="rId5">
        <w:r>
          <w:rPr>
            <w:rStyle w:val="CollegamentoInternet"/>
            <w:rFonts w:ascii="Times New Roman" w:hAnsi="Times New Roman"/>
            <w:color w:val="000000"/>
            <w:sz w:val="24"/>
            <w:szCs w:val="24"/>
            <w:u w:val="single"/>
          </w:rPr>
          <w:t>ss. mm</w:t>
        </w:r>
      </w:hyperlink>
      <w:r>
        <w:rPr>
          <w:rFonts w:ascii="Times New Roman" w:hAnsi="Times New Roman"/>
          <w:color w:val="000000"/>
          <w:sz w:val="24"/>
          <w:szCs w:val="24"/>
        </w:rPr>
        <w:t xml:space="preserve">. e ii., al D.L. 95/2012 convertito nella legge 135/2012, alla Legge 720/1984 </w:t>
      </w:r>
      <w:hyperlink r:id="rId6">
        <w:r>
          <w:rPr>
            <w:rStyle w:val="CollegamentoInternet"/>
            <w:rFonts w:ascii="Times New Roman" w:hAnsi="Times New Roman"/>
            <w:color w:val="000000"/>
            <w:sz w:val="24"/>
            <w:szCs w:val="24"/>
            <w:u w:val="single"/>
          </w:rPr>
          <w:t>ss. mm</w:t>
        </w:r>
      </w:hyperlink>
      <w:r>
        <w:rPr>
          <w:rFonts w:ascii="Times New Roman" w:hAnsi="Times New Roman"/>
          <w:color w:val="000000"/>
          <w:sz w:val="24"/>
          <w:szCs w:val="24"/>
        </w:rPr>
        <w:t xml:space="preserve">. e ii, ai decreti attuativi del 22 novembre 1985, 4 agosto 2009 e 27 Aprile 2012 </w:t>
      </w:r>
      <w:hyperlink r:id="rId7">
        <w:r>
          <w:rPr>
            <w:rStyle w:val="CollegamentoInternet"/>
            <w:rFonts w:ascii="Times New Roman" w:hAnsi="Times New Roman"/>
            <w:color w:val="000000"/>
            <w:sz w:val="24"/>
            <w:szCs w:val="24"/>
            <w:u w:val="single"/>
          </w:rPr>
          <w:t>ss. mm</w:t>
        </w:r>
      </w:hyperlink>
      <w:r>
        <w:rPr>
          <w:rFonts w:ascii="Times New Roman" w:hAnsi="Times New Roman"/>
          <w:color w:val="000000"/>
          <w:sz w:val="24"/>
          <w:szCs w:val="24"/>
        </w:rPr>
        <w:t>. e ii, nonché all’Allegato Tecnico.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Fermo restando che la somma  tra punteggio per merito tecnico e punteggio per merito economico dovrà essere pari a 100 i criteri di valutazione potranno essere combinati a seconda delle necessità delle II.SS. I criteri di valutazione  “facoltativi” potranno, pertanto, essere aggiunti a quelli “obbligatori” che necessariamente dovranno essere presenti nel bando di gara.</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2.1 Gestione delle riscossioni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Le entrate sono riscosse dal Gestore in base ad ordinativi di incasso (reversali) emessi dall'Istituto tramite OIL firmati digitalmente dal Dirigente Scolastico e dal Direttore dei Servizi Generali ed Amministrativi.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procederà a caricare in procedura le reversali entro il secondo giorno lavorativo successivo a quello dell’invio del messaggio di presa in carico.</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2.2 Gestione dei pagamenti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 pagamenti sono effettuati dal Gestore in base ad ordinativi di pagamento (mandati) emessi dall'Istituto tramite OIL firmati digitalmente dal Dirigente scolastico e dal Direttore dei Servizi Generali ed Amministrativi e relativi ad un unico beneficiario.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 mandati devono essere ammessi al pagamento entro e non oltre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10 dello Schema di Convezione.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15 dello Schema di Convenzione.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L’Istituto emette i mandati nel rispetto delle prescrizioni di cui all’art. 12, comma 2, del D.L. 201/2011 convertito con modifiche dalla L 214/2011.</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2.3 Rilascio carte aziendali di credito e prepagate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Su richiesta dell’Istituto, il Gestore rilascia carte di credito, di debito e prepagate regolate da apposito contratto. Le carte devono essere intestate esclusivamente al Dirigente Scolastico, ovvero a soggetti dallo stesso delegati all’utilizzo delle medesime.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Nel corso di validità contrattuale, il servizio di attivazione e di gestione delle carte prepagate - nelle quantità definite dal Dirigente Scolastico - deve intendersi prestato a titolo gratuito fatta eccezione degli oneri di ricarica per le carte prepagate; per tali oneri l’Istituto corrisponderà al Gestore quanto indicato in sede di presentazione delle offerte.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l’attivazione e gestione delle carte di credito l’Istituto corrisponderà al Gestore il compenso indicato dallo stesso in sede di presentazione delle offerte che sarà ricompreso nell’ambito dell’art. 15 dello Schema di Convenzione.</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2.4 Gestione della liquidità</w:t>
      </w:r>
    </w:p>
    <w:p>
      <w:pPr>
        <w:pStyle w:val="Normal"/>
        <w:spacing w:lineRule="auto" w:line="240" w:beforeAutospacing="1" w:afterAutospacing="1"/>
        <w:jc w:val="both"/>
        <w:rPr/>
      </w:pPr>
      <w:r>
        <w:rPr>
          <w:rFonts w:ascii="Times New Roman" w:hAnsi="Times New Roman"/>
          <w:color w:val="000000"/>
          <w:sz w:val="24"/>
          <w:szCs w:val="24"/>
        </w:rPr>
        <w:t xml:space="preserve">Per le disponibilità non sottoposte al regime di tesoreria unica, quali, a titolo esemplificativo risorse rivenienti da operazioni di indebitamento, non sorrette da contributo pubblico (cfr. D.M. 22 novembre 1985, </w:t>
      </w:r>
      <w:hyperlink r:id="rId8">
        <w:r>
          <w:rPr>
            <w:rStyle w:val="CollegamentoInternet"/>
            <w:rFonts w:ascii="Times New Roman" w:hAnsi="Times New Roman"/>
            <w:color w:val="000000"/>
            <w:sz w:val="24"/>
            <w:szCs w:val="24"/>
            <w:u w:val="single"/>
          </w:rPr>
          <w:t>ss. mm</w:t>
        </w:r>
      </w:hyperlink>
      <w:r>
        <w:rPr>
          <w:rFonts w:ascii="Times New Roman" w:hAnsi="Times New Roman"/>
          <w:color w:val="000000"/>
          <w:sz w:val="24"/>
          <w:szCs w:val="24"/>
        </w:rPr>
        <w:t>. e ii.), il Gestore dovrà assicurare una redditività delle giacenze pari al tasso indicato nell’ambito dell’offerta economica.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tasso d’interesse attivo ai sensi dell’art. 14 comma 1 dello Schema di Convenzione dovrà essere collegato al tasso EURIBOR 365 a 3 mesi, la cui liquidazione ha luogo con cadenza trimestrale, e dovrà essere espresso come valore complessivo dato dal tasso EURIBOR, come sopra descritto, ed i punti percentuali in aumento/diminuzione offerti dal Gestore.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Previa richiesta dell’Istituto, per le suddette disponibilità, il Gestore potrà proporre forme di miglioramento della redditività e/o investimenti che ottimizzino la gestione delle liquidità, in base alle esigenze dell’Istituto stesso e alle migliori condizioni di mercato.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Tali soluzioni di investimento dovranno sempre assicurare la conservazione del capitale impegnato, anche nel caso di riscatto anticipato e tenendo conto dell’applicazione di eventuali penali. I tempi di investimento non devono in alcun caso incidere sul flusso di cassa necessario per il funzionamento dell’Istituto. La durata dei vincoli o degli investimenti deve comunque essere compresa nel periodo di vigenza della Convenzione che verrà sottoscritta con il Gestore.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L’Istituto, si riserva di valutare, per l’accettazione, le proposte presentate e i termini tecnici ed economici ad essi riferiti.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Nell’ambito dell’Offerta Tecnica, il Gestore dovrà descrivere eventuali soluzioni organizzative che intende mettere in atto al fine di supportare l’Istituto nell’individuazione delle suddette soluzioni volte al miglioramento della redditività e/o degli investimenti.</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2.5 Anticipazioni di cassa</w:t>
      </w:r>
    </w:p>
    <w:p>
      <w:pPr>
        <w:pStyle w:val="Normal"/>
        <w:spacing w:lineRule="auto" w:line="240" w:beforeAutospacing="1" w:afterAutospacing="1"/>
        <w:jc w:val="both"/>
        <w:rPr/>
      </w:pPr>
      <w:r>
        <w:rPr>
          <w:rFonts w:ascii="Times New Roman" w:hAnsi="Times New Roman"/>
          <w:color w:val="000000"/>
          <w:sz w:val="24"/>
          <w:szCs w:val="24"/>
        </w:rPr>
        <w:t>Nel solo caso di mancata disponibilità di fondi e per sopperire a momentanee esigenze dell’Istituto, su richiesta del Dirigente Scolastico, il Gestore, come previsto dall’art. 8, comma 1 dello Schema di Convenzione, si impegna a concedere anticipazioni di cassa nei limiti dei tre dodicesimi del trasferimento erogato dal MIUR nell’anno precedente, a titolo di dotazione ordinaria</w:t>
      </w:r>
      <w:hyperlink r:id="rId9">
        <w:r>
          <w:rPr>
            <w:rStyle w:val="CollegamentoInternet"/>
            <w:rFonts w:ascii="Times New Roman" w:hAnsi="Times New Roman"/>
            <w:color w:val="000000"/>
            <w:sz w:val="24"/>
            <w:szCs w:val="24"/>
            <w:u w:val="single"/>
          </w:rPr>
          <w:t>[3]</w:t>
        </w:r>
      </w:hyperlink>
      <w:r>
        <w:rPr>
          <w:rFonts w:ascii="Times New Roman" w:hAnsi="Times New Roman"/>
          <w:color w:val="000000"/>
          <w:sz w:val="24"/>
          <w:szCs w:val="24"/>
        </w:rPr>
        <w:t xml:space="preserve"> (come da modello H di cui al D.I. 44/2001 ss. mm. e ii).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Gli interessi a carico dell’Istituto sulle somme anticipate decorrono dalla data dell’effettivo utilizzo delle somme stesse e sono pari a quanto indicato dal Gestore in sede di presentazione dell’offerta, conformemente con quanto previsto all’art. 14,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procede al rientro delle anticipazioni utilizzate ai sensi della normativa e dei regolamenti vigenti.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2.6 Apertura di credito finalizzate alla realizzazione di progetti formativi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A conclusione dell’</w:t>
      </w:r>
      <w:r>
        <w:rPr>
          <w:rFonts w:ascii="Times New Roman" w:hAnsi="Times New Roman"/>
          <w:i/>
          <w:iCs/>
          <w:color w:val="000000"/>
          <w:sz w:val="24"/>
          <w:szCs w:val="24"/>
        </w:rPr>
        <w:t>iter</w:t>
      </w:r>
      <w:r>
        <w:rPr>
          <w:rFonts w:ascii="Times New Roman" w:hAnsi="Times New Roman"/>
          <w:color w:val="000000"/>
          <w:sz w:val="24"/>
          <w:szCs w:val="24"/>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w:t>
      </w:r>
    </w:p>
    <w:p>
      <w:pPr>
        <w:pStyle w:val="Normal"/>
        <w:spacing w:lineRule="auto" w:line="240" w:beforeAutospacing="1" w:afterAutospacing="1"/>
        <w:jc w:val="both"/>
        <w:rPr/>
      </w:pPr>
      <w:r>
        <w:rPr>
          <w:rFonts w:ascii="Times New Roman" w:hAnsi="Times New Roman"/>
          <w:color w:val="000000"/>
          <w:sz w:val="24"/>
          <w:szCs w:val="24"/>
        </w:rPr>
        <w:t>Il Gestore, come previsto dall’art. 9 comma 3, dello Schema di Convenzione, s’impegna a concedere aperture di credito per progetti formativi tenendo conto che l’importo di dette operazioni non può eccedere complessivamente i nove dodicesimi dei trasferimenti erogati (come da modello H di cui al D.I. 44/2001 ss. mm. e ii) a titolo di dotazione ordinaria, dal Ministero dell’Istruzione, dell’Università e della Ricerca nell’anno precedente</w:t>
      </w:r>
      <w:hyperlink r:id="rId10">
        <w:r>
          <w:rPr>
            <w:rStyle w:val="CollegamentoInternet"/>
            <w:rFonts w:ascii="Times New Roman" w:hAnsi="Times New Roman"/>
            <w:color w:val="000000"/>
            <w:sz w:val="24"/>
            <w:szCs w:val="24"/>
            <w:u w:val="single"/>
          </w:rPr>
          <w:t>[4]</w:t>
        </w:r>
      </w:hyperlink>
      <w:r>
        <w:rPr>
          <w:rFonts w:ascii="Times New Roman" w:hAnsi="Times New Roman"/>
          <w:color w:val="000000"/>
          <w:sz w:val="24"/>
          <w:szCs w:val="24"/>
        </w:rPr>
        <w:t>.</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procede di iniziativa per l’immediato rientro delle aperture di credito utilizzate non appena si verifichino le entrate di cui ai predetti finanziamenti statali o comunitari.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ciascuna richiesta l’Istituto corrisponderà al Gestore il tasso indicato in sede di presentazione dell’offerta, conformemente con quanto previsto all’art. 14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2.7 Amministrazione titoli e valori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tale servizio, l’Istituto corrisponderà al Gestore il compenso annuo indicato in sede di presentazione dell’offerta che sarà ricompreso nell’ambito dell’art. 15 dello Schema di Convenzione.</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2.8 Attivazione strumenti di incasso evoluti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Su richiesta dell’Istituto il Gestore dovrà attivare il/i seguente/i strumento/i evoluto/i di incasso, nei tempi e modalità concordate con il Dirigente Scolastico e il Direttore dei Servizi Generali ed Amministrativi:</w:t>
      </w:r>
    </w:p>
    <w:p>
      <w:pPr>
        <w:pStyle w:val="Normal"/>
        <w:numPr>
          <w:ilvl w:val="0"/>
          <w:numId w:val="4"/>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MAV (pagamento Mediante Avviso) bancario e postale; </w:t>
      </w:r>
    </w:p>
    <w:p>
      <w:pPr>
        <w:pStyle w:val="Normal"/>
        <w:numPr>
          <w:ilvl w:val="0"/>
          <w:numId w:val="4"/>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RID (Rapporto Interbancario Diretto) bancario e postale; </w:t>
      </w:r>
    </w:p>
    <w:p>
      <w:pPr>
        <w:pStyle w:val="Normal"/>
        <w:numPr>
          <w:ilvl w:val="0"/>
          <w:numId w:val="4"/>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RIBA (ricevuta bancaria) e incasso domiciliato; </w:t>
      </w:r>
    </w:p>
    <w:p>
      <w:pPr>
        <w:pStyle w:val="Normal"/>
        <w:numPr>
          <w:ilvl w:val="0"/>
          <w:numId w:val="4"/>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bollettino; </w:t>
      </w:r>
    </w:p>
    <w:p>
      <w:pPr>
        <w:pStyle w:val="Normal"/>
        <w:numPr>
          <w:ilvl w:val="0"/>
          <w:numId w:val="4"/>
        </w:numPr>
        <w:spacing w:lineRule="auto" w:line="240" w:beforeAutospacing="1" w:afterAutospacing="1"/>
        <w:jc w:val="both"/>
        <w:rPr>
          <w:rFonts w:ascii="Times New Roman" w:hAnsi="Times New Roman"/>
          <w:color w:val="000000"/>
          <w:sz w:val="24"/>
          <w:szCs w:val="24"/>
        </w:rPr>
      </w:pPr>
      <w:r>
        <w:rPr>
          <w:rFonts w:ascii="Times New Roman" w:hAnsi="Times New Roman"/>
          <w:i/>
          <w:iCs/>
          <w:color w:val="000000"/>
          <w:sz w:val="24"/>
          <w:szCs w:val="24"/>
        </w:rPr>
        <w:t>acquiring</w:t>
      </w:r>
      <w:r>
        <w:rPr>
          <w:rFonts w:ascii="Times New Roman" w:hAnsi="Times New Roman"/>
          <w:color w:val="000000"/>
          <w:sz w:val="24"/>
          <w:szCs w:val="24"/>
        </w:rPr>
        <w:t xml:space="preserve"> (POS fisico o virtuale); </w:t>
      </w:r>
    </w:p>
    <w:p>
      <w:pPr>
        <w:pStyle w:val="Normal"/>
        <w:numPr>
          <w:ilvl w:val="0"/>
          <w:numId w:val="4"/>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altri strumenti di incasso</w:t>
      </w:r>
      <w:r>
        <w:rPr>
          <w:rFonts w:ascii="Times New Roman" w:hAnsi="Times New Roman"/>
          <w:i/>
          <w:iCs/>
          <w:color w:val="000000"/>
          <w:sz w:val="24"/>
          <w:szCs w:val="24"/>
        </w:rPr>
        <w:t>.</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Tali strumenti sono finalizzati ad ottimizzare e velocizzare la fase di riscossione delle entrate patrimoniali e assicurare la sollecita trasmissione dei dati riferiti all’incasso.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ciascuno di tali strumenti, l’Istituto corrisponderà al Gestore un compenso unitario per singola transazione, come indicato in sede di presentazione delle offerte.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Nell’ambito dell’Offerta Tecnica il Gestore dovrà specificare, se richiesti, eventuali ulteriori strumenti di incasso che intende mettere a disposizione dell’Istituto, in aggiunta a quelli sopra indicati.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Nel caso di attivazione di POS fisico, il Gestore deve fornire all’Istituto, in comodato d’uso gratuito, una postazione comprensiva di tutto quanto necessario per il corretto funzionamento e utilizzo dello strumento (</w:t>
      </w:r>
      <w:r>
        <w:rPr>
          <w:rFonts w:ascii="Times New Roman" w:hAnsi="Times New Roman"/>
          <w:i/>
          <w:iCs/>
          <w:color w:val="000000"/>
          <w:sz w:val="24"/>
          <w:szCs w:val="24"/>
        </w:rPr>
        <w:t>hardware</w:t>
      </w:r>
      <w:r>
        <w:rPr>
          <w:rFonts w:ascii="Times New Roman" w:hAnsi="Times New Roman"/>
          <w:color w:val="000000"/>
          <w:sz w:val="24"/>
          <w:szCs w:val="24"/>
        </w:rPr>
        <w:t xml:space="preserve">, </w:t>
      </w:r>
      <w:r>
        <w:rPr>
          <w:rFonts w:ascii="Times New Roman" w:hAnsi="Times New Roman"/>
          <w:i/>
          <w:iCs/>
          <w:color w:val="000000"/>
          <w:sz w:val="24"/>
          <w:szCs w:val="24"/>
        </w:rPr>
        <w:t>software</w:t>
      </w:r>
      <w:r>
        <w:rPr>
          <w:rFonts w:ascii="Times New Roman" w:hAnsi="Times New Roman"/>
          <w:color w:val="000000"/>
          <w:sz w:val="24"/>
          <w:szCs w:val="24"/>
        </w:rPr>
        <w:t>, etc).</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3. Servizi opzionali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Nell’ambito dell’Offerta Tecnica, in una busta separata chiusa, sigillata e controfirmata, recante la dicitura “Offerta Tecnica per servizi opzionali”, il Gestore dovrà inserire un documento illustrativo di eventuali servizi che intende erogare a favore dell’Istituto ovvero, se del caso, di soggetti ad esso riconducibili (es: dipendenti, fornitori, studenti, etc.).</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L’Istituto si impegna a mettere in atto strumenti ed azioni di comunicazione finalizzate a rendere noto ai soggetti interessati prodotti e condizioni offerti dal Gestore.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 servizi suddetti e successivamente specificati dovranno essere comunque dichiarati poiché a parità di punteggio potranno rappresentare un elemento positivo di individuazione del contraente.</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3.1 Realizzazione progetti formativi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In conformità a quanto previsto dagli accordi intercorsi fra ABI e Poste Italiane, il Gestore potrà supportare l’Istituto, sia dal punto di vista organizzativo sia da quello finanziario, nella realizzazione di progetti formativi finalizzati a fornire esperienze tecniche, aggiornamenti operativi e confronti operativi. Tali progetti potranno essere indirizzati anche al Dirigenti Scolastico, al Direttore dei Servizi Generali e Amministrativi e al personale amministrativo dell’Istituto. Il Gestore dovrà specificare le risorse che intende mettere a disposizione dell’Istituto, in termini organizzativi e finanziari.</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3.2 Offerta di prodotti finanziari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potrà proporre, nell’ambito dell’Offerta Tecnica, appositi prodotti finanziari riservati ai soggetti riconducibili all’Istituto (es: dipendenti, fornitori, studenti, etc.), anche differenziati per categorie omogenee.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ciascun prodotto finanziario offerto il Gestore dovrà specificare le condizioni economiche cui lo stesso è assoggettato e le caratteristiche migliorative rispetto alle condizioni medie di mercato per il medesimo prodotto.</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3.3 Sponsorizzazione di progetti didattici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Gestore può proporre la sponsorizzazione di progetti volti alla didattica o all’organizzazione dell’Istituzione Scolastica, con particolare attenzione al miglioramento dell’offerta complessiva verso gli studenti. Il Gestore, nell’ambito dell’Offerta Tecnica dovrà quindi indicare, sia dal punto di vista organizzativo che finanziario, numero e tipologia di progetti che intende realizzare, evidenziando le risorse che saranno impiegate per la realizzazione degli stessi.</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4. Criterio selettivo delle offerte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L’appalto sarà aggiudicato mediante il criterio selettivo dell’offerta economicamente più vantaggiosa ai sensi dell’art. 83 del D.Lgs 163 del 2006.</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La graduatoria verrà formata in ragione dei criteri di valutazione di seguito stabiliti:</w:t>
      </w:r>
    </w:p>
    <w:tbl>
      <w:tblPr>
        <w:tblW w:w="102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000"/>
      </w:tblPr>
      <w:tblGrid>
        <w:gridCol w:w="4935"/>
        <w:gridCol w:w="5324"/>
      </w:tblGrid>
      <w:tr>
        <w:trPr/>
        <w:tc>
          <w:tcPr>
            <w:tcW w:w="4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Criteri di valutazione</w:t>
            </w:r>
          </w:p>
        </w:tc>
        <w:tc>
          <w:tcPr>
            <w:tcW w:w="5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Punteggio massimo</w:t>
            </w:r>
          </w:p>
        </w:tc>
      </w:tr>
      <w:tr>
        <w:trPr/>
        <w:tc>
          <w:tcPr>
            <w:tcW w:w="4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Offerta Tecnica (Tabella A)</w:t>
            </w:r>
          </w:p>
        </w:tc>
        <w:tc>
          <w:tcPr>
            <w:tcW w:w="5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[10]</w:t>
            </w:r>
            <w:r>
              <w:rPr>
                <w:rFonts w:ascii="Times New Roman" w:hAnsi="Times New Roman"/>
                <w:i/>
                <w:iCs/>
                <w:color w:val="000000"/>
                <w:sz w:val="24"/>
                <w:szCs w:val="24"/>
              </w:rPr>
              <w:t> </w:t>
            </w:r>
          </w:p>
        </w:tc>
      </w:tr>
      <w:tr>
        <w:trPr/>
        <w:tc>
          <w:tcPr>
            <w:tcW w:w="4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Offerta Economica (Tabella B)</w:t>
            </w:r>
          </w:p>
        </w:tc>
        <w:tc>
          <w:tcPr>
            <w:tcW w:w="5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[90]</w:t>
            </w:r>
            <w:r>
              <w:rPr>
                <w:rFonts w:ascii="Times New Roman" w:hAnsi="Times New Roman"/>
                <w:i/>
                <w:iCs/>
                <w:color w:val="000000"/>
                <w:sz w:val="24"/>
                <w:szCs w:val="24"/>
              </w:rPr>
              <w:t> </w:t>
            </w:r>
          </w:p>
        </w:tc>
      </w:tr>
      <w:tr>
        <w:trPr/>
        <w:tc>
          <w:tcPr>
            <w:tcW w:w="4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PUNTEGGIO TOTALE</w:t>
            </w:r>
          </w:p>
        </w:tc>
        <w:tc>
          <w:tcPr>
            <w:tcW w:w="5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100</w:t>
            </w:r>
          </w:p>
        </w:tc>
      </w:tr>
    </w:tbl>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4.1 Attribuzione MERITO TECNICO</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Il punteggio di merito tecnico verrà attribuito sulla base dei seguenti criteri suddivisi in obbligatori e facoltativi:</w:t>
      </w:r>
    </w:p>
    <w:tbl>
      <w:tblPr>
        <w:tblW w:w="102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569"/>
        <w:gridCol w:w="7890"/>
        <w:gridCol w:w="1"/>
        <w:gridCol w:w="1800"/>
      </w:tblGrid>
      <w:tr>
        <w:trPr>
          <w:tblHeader w:val="true"/>
        </w:trPr>
        <w:tc>
          <w:tcPr>
            <w:tcW w:w="8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MERITO TECNICO (Tabella A)</w:t>
            </w:r>
            <w:r>
              <w:rPr>
                <w:rFonts w:ascii="Times New Roman" w:hAnsi="Times New Roman"/>
                <w:b/>
                <w:bCs/>
                <w:i/>
                <w:iCs/>
                <w:color w:val="000000"/>
                <w:sz w:val="24"/>
                <w:szCs w:val="24"/>
              </w:rPr>
              <w:t> </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Punteggio</w:t>
              <w:br/>
              <w:t>massimo</w:t>
            </w:r>
          </w:p>
        </w:tc>
      </w:tr>
      <w:tr>
        <w:trPr>
          <w:tblHeader w:val="true"/>
        </w:trPr>
        <w:tc>
          <w:tcPr>
            <w:tcW w:w="569" w:type="dxa"/>
            <w:tcBorders/>
            <w:shd w:fill="auto" w:val="cle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1</w:t>
            </w:r>
          </w:p>
        </w:tc>
        <w:tc>
          <w:tcPr>
            <w:tcW w:w="7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Servizi aggiuntivi all’utilizzo dello strumento OIL (par. 2</w:t>
            </w:r>
            <w:r>
              <w:rPr>
                <w:rFonts w:ascii="Times New Roman" w:hAnsi="Times New Roman"/>
                <w:b/>
                <w:bCs/>
                <w:i/>
                <w:iCs/>
                <w:color w:val="000000"/>
                <w:sz w:val="24"/>
                <w:szCs w:val="24"/>
              </w:rPr>
              <w:t>) (obbligatorio)</w:t>
            </w:r>
          </w:p>
        </w:tc>
        <w:tc>
          <w:tcPr>
            <w:tcW w:w="18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[2]</w:t>
            </w:r>
          </w:p>
        </w:tc>
      </w:tr>
      <w:tr>
        <w:trPr>
          <w:tblHeader w:val="true"/>
        </w:trPr>
        <w:tc>
          <w:tcPr>
            <w:tcW w:w="569" w:type="dxa"/>
            <w:tcBorders/>
            <w:shd w:fill="auto" w:val="cle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2</w:t>
            </w:r>
          </w:p>
        </w:tc>
        <w:tc>
          <w:tcPr>
            <w:tcW w:w="7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Servizi aggiuntivi per il miglioramento dei processi e degli strumenti di gestione amministrativa, contabile ed organizzativa dell’Istituto (es: fornitura di assistenza, formazione e strumenti a supporto) (par. 2) </w:t>
            </w:r>
            <w:r>
              <w:rPr>
                <w:rFonts w:ascii="Times New Roman" w:hAnsi="Times New Roman"/>
                <w:b/>
                <w:bCs/>
                <w:i/>
                <w:iCs/>
                <w:color w:val="000000"/>
                <w:sz w:val="24"/>
                <w:szCs w:val="24"/>
              </w:rPr>
              <w:t>(obbligatorio)</w:t>
            </w:r>
          </w:p>
        </w:tc>
        <w:tc>
          <w:tcPr>
            <w:tcW w:w="18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[2]</w:t>
            </w:r>
          </w:p>
        </w:tc>
      </w:tr>
      <w:tr>
        <w:trPr>
          <w:tblHeader w:val="true"/>
        </w:trPr>
        <w:tc>
          <w:tcPr>
            <w:tcW w:w="569" w:type="dxa"/>
            <w:tcBorders/>
            <w:shd w:fill="auto" w:val="cle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3</w:t>
            </w:r>
          </w:p>
        </w:tc>
        <w:tc>
          <w:tcPr>
            <w:tcW w:w="7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Qualità delle soluzioni organizzative proposte in riferimento ai servizi di consulenza eventualmente richiesti per i servizi di gestione della liquidità (2.4) </w:t>
            </w:r>
            <w:r>
              <w:rPr>
                <w:rFonts w:ascii="Times New Roman" w:hAnsi="Times New Roman"/>
                <w:b/>
                <w:bCs/>
                <w:i/>
                <w:iCs/>
                <w:color w:val="000000"/>
                <w:sz w:val="24"/>
                <w:szCs w:val="24"/>
              </w:rPr>
              <w:t>(facoltativo)</w:t>
            </w:r>
          </w:p>
        </w:tc>
        <w:tc>
          <w:tcPr>
            <w:tcW w:w="18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w:t>
            </w:r>
          </w:p>
        </w:tc>
      </w:tr>
      <w:tr>
        <w:trPr>
          <w:tblHeader w:val="true"/>
        </w:trPr>
        <w:tc>
          <w:tcPr>
            <w:tcW w:w="569" w:type="dxa"/>
            <w:tcBorders/>
            <w:shd w:fill="auto" w:val="cle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4</w:t>
            </w:r>
          </w:p>
        </w:tc>
        <w:tc>
          <w:tcPr>
            <w:tcW w:w="7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Percentuale, applicata sul limite massimo dei 9/12 di trasferimento della dotazione ordinaria, per apertura di credito finalizzata alla realizzazione dei progetti formativi (par. 2.6) </w:t>
            </w:r>
            <w:r>
              <w:rPr>
                <w:rFonts w:ascii="Times New Roman" w:hAnsi="Times New Roman"/>
                <w:b/>
                <w:bCs/>
                <w:i/>
                <w:iCs/>
                <w:color w:val="000000"/>
                <w:sz w:val="24"/>
                <w:szCs w:val="24"/>
              </w:rPr>
              <w:t>(facoltativo)</w:t>
            </w:r>
          </w:p>
        </w:tc>
        <w:tc>
          <w:tcPr>
            <w:tcW w:w="18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[4]</w:t>
            </w:r>
          </w:p>
        </w:tc>
      </w:tr>
      <w:tr>
        <w:trPr>
          <w:tblHeader w:val="true"/>
        </w:trPr>
        <w:tc>
          <w:tcPr>
            <w:tcW w:w="569" w:type="dxa"/>
            <w:tcBorders/>
            <w:shd w:fill="auto" w:val="cle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5</w:t>
            </w:r>
          </w:p>
        </w:tc>
        <w:tc>
          <w:tcPr>
            <w:tcW w:w="7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Ulteriori servizi di incasso in aggiunta a quelli già previsti al par. 2.8 </w:t>
            </w:r>
            <w:r>
              <w:rPr>
                <w:rFonts w:ascii="Times New Roman" w:hAnsi="Times New Roman"/>
                <w:b/>
                <w:bCs/>
                <w:i/>
                <w:iCs/>
                <w:color w:val="000000"/>
                <w:sz w:val="24"/>
                <w:szCs w:val="24"/>
              </w:rPr>
              <w:t>(facoltativo)</w:t>
            </w:r>
          </w:p>
        </w:tc>
        <w:tc>
          <w:tcPr>
            <w:tcW w:w="18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w:t>
            </w:r>
          </w:p>
        </w:tc>
      </w:tr>
      <w:tr>
        <w:trPr>
          <w:tblHeader w:val="true"/>
        </w:trPr>
        <w:tc>
          <w:tcPr>
            <w:tcW w:w="8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PUNTEGGIO TOTALE</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[10]</w:t>
            </w:r>
          </w:p>
        </w:tc>
      </w:tr>
    </w:tbl>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Il merito tecnico di cui ai Punti 1, 2, 3 e 5 - “PT1”, “PT2”, “PT3”, e “PT5” – sarà attribuito in ragione del giudizio assegnato alle caratteristiche offerte tra quelle di seguito riportate: “ottimo”, “buono”, “discreto”, “sufficiente”, “insufficiente”.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Ad ogni giudizio corrisponderà l’attribuzione di una differente percentuale di punteggio massimo attribuibile e segnatamente: “ottimo=100%”, “buono=75%”, “discreto=50%”, “sufficiente=25%”, “insufficiente=0%”</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merito tecnico di cui al Punto 4 - “PT4” - sarà attribuito sulla base della seguente formula: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PT4 = (V i.esimo / V max) x [...]</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Dove: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V i.esimo = valore offerto dal concorrente i.esimo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V max = valore più alto tra quelli offerti dai concorrenti ammessi alla fase di valutazione delle offerte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tecniche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Si precisa che: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l’offerta uguale o inferiore al 20% (venti) non determinerà l’attribuzione di alcun punteggio di</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merito tecnico nonché di merito economico in riferimento al punto 12 della Tabella B.</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4.2 Attribuzione MERITO ECONOMICO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punteggio di merito economico verrà attribuito sulla base dei seguenti criteri suddivisi in obbligatori e facoltativi:</w:t>
      </w:r>
    </w:p>
    <w:tbl>
      <w:tblPr>
        <w:tblW w:w="102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450"/>
        <w:gridCol w:w="6209"/>
        <w:gridCol w:w="1"/>
        <w:gridCol w:w="1799"/>
        <w:gridCol w:w="1"/>
        <w:gridCol w:w="1799"/>
      </w:tblGrid>
      <w:tr>
        <w:trPr>
          <w:tblHeader w:val="true"/>
        </w:trPr>
        <w:tc>
          <w:tcPr>
            <w:tcW w:w="66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color w:val="000000"/>
                <w:sz w:val="24"/>
                <w:szCs w:val="24"/>
              </w:rPr>
              <w:t>MERITO ECONOMICO (Tabella B)</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Punteggio</w:t>
              <w:br/>
              <w:t>parziale</w:t>
            </w:r>
            <w:r>
              <w:rPr>
                <w:rFonts w:ascii="Times New Roman" w:hAnsi="Times New Roman"/>
                <w:i/>
                <w:iCs/>
                <w:color w:val="000000"/>
                <w:sz w:val="24"/>
                <w:szCs w:val="24"/>
              </w:rPr>
              <w:t> </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Punteggio</w:t>
              <w:br/>
              <w:t>massimo</w:t>
            </w:r>
            <w:r>
              <w:rPr>
                <w:rFonts w:ascii="Times New Roman" w:hAnsi="Times New Roman"/>
                <w:i/>
                <w:iCs/>
                <w:color w:val="000000"/>
                <w:sz w:val="24"/>
                <w:szCs w:val="24"/>
              </w:rPr>
              <w:t> </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Compenso e spese annue di gestione e tenuta conto (par. 2) </w:t>
            </w:r>
            <w:r>
              <w:rPr>
                <w:rFonts w:ascii="Times New Roman" w:hAnsi="Times New Roman"/>
                <w:b/>
                <w:bCs/>
                <w:i/>
                <w:i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[30]</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2</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Compenso e spese annue per attivazione e gestione servizi di remote banking (par. 2) </w:t>
            </w:r>
            <w:r>
              <w:rPr>
                <w:rFonts w:ascii="Times New Roman" w:hAnsi="Times New Roman"/>
                <w:b/>
                <w:bCs/>
                <w:i/>
                <w:i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[15]</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3 </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Valute su incassi (par. 2.1) – entro il secondo giorno lavorativo successivo all’invio del messaggio applicativo di avvenuta esecuzione o di incasso</w:t>
            </w:r>
            <w:r>
              <w:rPr>
                <w:rFonts w:ascii="Times New Roman" w:hAnsi="Times New Roman"/>
                <w:b/>
                <w:bCs/>
                <w:i/>
                <w:i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c>
          <w:tcPr>
            <w:tcW w:w="6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prevista il giorno stesso</w:t>
            </w:r>
            <w:r>
              <w:rPr>
                <w:rFonts w:ascii="Times New Roman" w:hAnsi="Times New Roman"/>
                <w:i/>
                <w:iCs/>
                <w:color w:val="000000"/>
                <w:sz w:val="24"/>
                <w:szCs w:val="24"/>
              </w:rPr>
              <w:t> </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w:t>
            </w:r>
            <w:r>
              <w:rPr>
                <w:rFonts w:ascii="Times New Roman" w:hAnsi="Times New Roman"/>
                <w:i/>
                <w:iCs/>
                <w:color w:val="000000"/>
                <w:sz w:val="24"/>
                <w:szCs w:val="24"/>
              </w:rPr>
              <w:t>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c>
          <w:tcPr>
            <w:tcW w:w="6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prevista dopo un giorno</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[0,5]</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c>
          <w:tcPr>
            <w:tcW w:w="6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prevista dopo due giorni</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[0]</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4</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Termine di ammissibilità pagamento dei mandati (par. 2.2) - entro e non oltre il secondo giorno lavorativo o lavorativo bancabile successivo a quello dell’invio del messaggio di presa in carico </w:t>
            </w:r>
            <w:r>
              <w:rPr>
                <w:rFonts w:ascii="Times New Roman" w:hAnsi="Times New Roman"/>
                <w:b/>
                <w:bCs/>
                <w:i/>
                <w:i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c>
          <w:tcPr>
            <w:tcW w:w="6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prevista il giorno stesso</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[1]</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c>
          <w:tcPr>
            <w:tcW w:w="6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prevista dopo un giorno</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[0,5]</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c>
          <w:tcPr>
            <w:tcW w:w="6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prevista dopo due giorni</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[0]</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 </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5</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Commissioni a carico dell’Istituto per singola operazione di pagamento ordinato dall’Istituto medesimo mediante bonifico, esclusi bonifici stipendi e rimborsi spese a favore dei dipendenti (par. 2.2) </w:t>
            </w:r>
            <w:r>
              <w:rPr>
                <w:rFonts w:ascii="Times New Roman" w:hAnsi="Times New Roman"/>
                <w:b/>
                <w:bCs/>
                <w:i/>
                <w:i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[8]</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6</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i/>
                <w:iCs/>
                <w:color w:val="000000"/>
                <w:sz w:val="24"/>
                <w:szCs w:val="24"/>
              </w:rPr>
              <w:t xml:space="preserve">Commissioni a carico dell’Istituto per singola operazione di pagamento ordinato dall’Istituto medesimo, mediante </w:t>
            </w:r>
            <w:r>
              <w:rPr>
                <w:rFonts w:ascii="Times New Roman" w:hAnsi="Times New Roman"/>
                <w:color w:val="000000"/>
                <w:sz w:val="24"/>
                <w:szCs w:val="24"/>
              </w:rPr>
              <w:t xml:space="preserve">[se del caso inserire eventuale altro strumento di pagamento], esclusi i pagamenti stipendi e i rimborsi spese a favore dei dipendenti (par. 2.2) </w:t>
            </w:r>
            <w:r>
              <w:rPr>
                <w:rFonts w:ascii="Times New Roman" w:hAnsi="Times New Roman"/>
                <w:b/>
                <w:b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[3]</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7</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Spese annue per attivazione e gestione carta di credito (par. 2.3) </w:t>
            </w:r>
            <w:r>
              <w:rPr>
                <w:rFonts w:ascii="Times New Roman" w:hAnsi="Times New Roman"/>
                <w:b/>
                <w:bCs/>
                <w:color w:val="000000"/>
                <w:sz w:val="24"/>
                <w:szCs w:val="24"/>
              </w:rPr>
              <w:t>(facoltativo)</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1 carta</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oltre 1carta  fino a 10 carte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[1]</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8</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Oneri di ricarica delle carte prepagate emesse dal Gestore (par. 2.3) </w:t>
            </w:r>
            <w:r>
              <w:rPr>
                <w:rFonts w:ascii="Times New Roman" w:hAnsi="Times New Roman"/>
                <w:b/>
                <w:bCs/>
                <w:color w:val="000000"/>
                <w:sz w:val="24"/>
                <w:szCs w:val="24"/>
              </w:rPr>
              <w:t>(facoltativo)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[1]</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9</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Oneri di ricarica delle carte prepagate tramite circuito interbancario (par. 2.3) </w:t>
            </w:r>
            <w:r>
              <w:rPr>
                <w:rFonts w:ascii="Times New Roman" w:hAnsi="Times New Roman"/>
                <w:b/>
                <w:bCs/>
                <w:color w:val="000000"/>
                <w:sz w:val="24"/>
                <w:szCs w:val="24"/>
              </w:rPr>
              <w:t>(facoltativo)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[1]</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10</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Tasso d'interesse attivo su giacenze attive di cassa per le disponibilità non sottoposte a regime di tesoreria unica (par. 2.4) </w:t>
            </w:r>
            <w:r>
              <w:rPr>
                <w:rFonts w:ascii="Times New Roman" w:hAnsi="Times New Roman"/>
                <w:b/>
                <w:b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[1]</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11</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Tasso annuo d’interesse passivo su anticipazioni di cassa (par. 2.5) </w:t>
            </w:r>
            <w:r>
              <w:rPr>
                <w:rFonts w:ascii="Times New Roman" w:hAnsi="Times New Roman"/>
                <w:b/>
                <w:bCs/>
                <w:color w:val="000000"/>
                <w:sz w:val="24"/>
                <w:szCs w:val="24"/>
              </w:rPr>
              <w:t>(obbligatorio)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[10]</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12</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Tasso annuo d’interesse passivo su aperture di credito (par. 2.6) </w:t>
            </w:r>
            <w:r>
              <w:rPr>
                <w:rFonts w:ascii="Times New Roman" w:hAnsi="Times New Roman"/>
                <w:b/>
                <w:bCs/>
                <w:color w:val="000000"/>
                <w:sz w:val="24"/>
                <w:szCs w:val="24"/>
              </w:rPr>
              <w:t>(facoltativo)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[6]</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13</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Remunerazione forfettaria annua per custodia e amministrazione di titoli e valori (par. 2.7) </w:t>
            </w:r>
            <w:r>
              <w:rPr>
                <w:rFonts w:ascii="Times New Roman" w:hAnsi="Times New Roman"/>
                <w:b/>
                <w:bCs/>
                <w:color w:val="000000"/>
                <w:sz w:val="24"/>
                <w:szCs w:val="24"/>
              </w:rPr>
              <w:t>(facoltativo)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[2]</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14</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Commissione per transazione inerente il servizio di riscossione tramite procedura MAV bancario e postale (par. 2.8) </w:t>
            </w:r>
            <w:r>
              <w:rPr>
                <w:rFonts w:ascii="Times New Roman" w:hAnsi="Times New Roman"/>
                <w:b/>
                <w:bCs/>
                <w:color w:val="000000"/>
                <w:sz w:val="24"/>
                <w:szCs w:val="24"/>
              </w:rPr>
              <w:t>(facoltativo)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[2]</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15</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Commissione per transazione inerente il servizio di riscossione tramite procedura RID bancario e postale (par. 2.8) </w:t>
            </w:r>
            <w:r>
              <w:rPr>
                <w:rFonts w:ascii="Times New Roman" w:hAnsi="Times New Roman"/>
                <w:b/>
                <w:bCs/>
                <w:color w:val="000000"/>
                <w:sz w:val="24"/>
                <w:szCs w:val="24"/>
              </w:rPr>
              <w:t>(facoltativo)</w:t>
            </w:r>
          </w:p>
          <w:p>
            <w:pPr>
              <w:pStyle w:val="Normal"/>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Numero di operazioni disposte dal 1 gennaio al 31 dicembre di ogni anno:</w:t>
            </w:r>
          </w:p>
          <w:p>
            <w:pPr>
              <w:pStyle w:val="Normal"/>
              <w:numPr>
                <w:ilvl w:val="0"/>
                <w:numId w:val="5"/>
              </w:numPr>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fino a 5000</w:t>
            </w:r>
            <w:r>
              <w:rPr>
                <w:rFonts w:ascii="Times New Roman" w:hAnsi="Times New Roman"/>
                <w:color w:val="000000"/>
                <w:sz w:val="24"/>
                <w:szCs w:val="24"/>
              </w:rPr>
              <w:t xml:space="preserve"> </w:t>
            </w:r>
          </w:p>
          <w:p>
            <w:pPr>
              <w:pStyle w:val="Normal"/>
              <w:numPr>
                <w:ilvl w:val="0"/>
                <w:numId w:val="5"/>
              </w:numPr>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oltre 5000</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[2]</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i/>
                <w:iCs/>
                <w:color w:val="000000"/>
                <w:sz w:val="24"/>
                <w:szCs w:val="24"/>
              </w:rPr>
              <w:t>16</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Commissione per transazione inerente il servizio di riscossione tramite procedura RIBA (par. 2.8) </w:t>
            </w:r>
            <w:r>
              <w:rPr>
                <w:rFonts w:ascii="Times New Roman" w:hAnsi="Times New Roman"/>
                <w:b/>
                <w:bCs/>
                <w:color w:val="000000"/>
                <w:sz w:val="24"/>
                <w:szCs w:val="24"/>
              </w:rPr>
              <w:t>(facoltativo)</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[ovvero, in alternativa]</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Commissione per transazione inerente il servizio di riscossione tramite incasso domiciliato (par. 2.8) </w:t>
            </w:r>
            <w:r>
              <w:rPr>
                <w:rFonts w:ascii="Times New Roman" w:hAnsi="Times New Roman"/>
                <w:b/>
                <w:bCs/>
                <w:color w:val="000000"/>
                <w:sz w:val="24"/>
                <w:szCs w:val="24"/>
              </w:rPr>
              <w:t>(facoltativo)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[2]</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17</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Commissione per transazione inerente il servizio di riscossione tramite bollettino (par. 2.8) </w:t>
            </w:r>
            <w:r>
              <w:rPr>
                <w:rFonts w:ascii="Times New Roman" w:hAnsi="Times New Roman"/>
                <w:b/>
                <w:bCs/>
                <w:color w:val="000000"/>
                <w:sz w:val="24"/>
                <w:szCs w:val="24"/>
              </w:rPr>
              <w:t>(facoltativo)</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[2]</w:t>
            </w:r>
          </w:p>
        </w:tc>
      </w:tr>
      <w:tr>
        <w:trPr>
          <w:tblHeader w:val="true"/>
        </w:trPr>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color w:val="000000"/>
                <w:sz w:val="24"/>
                <w:szCs w:val="24"/>
              </w:rPr>
              <w:t>18</w:t>
            </w:r>
          </w:p>
        </w:tc>
        <w:tc>
          <w:tcPr>
            <w:tcW w:w="80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xml:space="preserve">Commissione per transazione inerente il servizio di riscossione tramite POS (par. 2.8) </w:t>
            </w:r>
            <w:r>
              <w:rPr>
                <w:rFonts w:ascii="Times New Roman" w:hAnsi="Times New Roman"/>
                <w:b/>
                <w:bCs/>
                <w:color w:val="000000"/>
                <w:sz w:val="24"/>
                <w:szCs w:val="24"/>
              </w:rPr>
              <w:t>(facoltativo)</w:t>
            </w:r>
          </w:p>
          <w:p>
            <w:pPr>
              <w:pStyle w:val="Normal"/>
              <w:numPr>
                <w:ilvl w:val="0"/>
                <w:numId w:val="6"/>
              </w:numPr>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Visa/Mastercard %......</w:t>
            </w:r>
            <w:r>
              <w:rPr>
                <w:rFonts w:ascii="Times New Roman" w:hAnsi="Times New Roman"/>
                <w:color w:val="000000"/>
                <w:sz w:val="24"/>
                <w:szCs w:val="24"/>
              </w:rPr>
              <w:t xml:space="preserve"> </w:t>
            </w:r>
          </w:p>
          <w:p>
            <w:pPr>
              <w:pStyle w:val="Normal"/>
              <w:numPr>
                <w:ilvl w:val="0"/>
                <w:numId w:val="6"/>
              </w:numPr>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Maestro %.......</w:t>
            </w:r>
            <w:r>
              <w:rPr>
                <w:rFonts w:ascii="Times New Roman" w:hAnsi="Times New Roman"/>
                <w:color w:val="000000"/>
                <w:sz w:val="24"/>
                <w:szCs w:val="24"/>
              </w:rPr>
              <w:t xml:space="preserve"> </w:t>
            </w:r>
          </w:p>
          <w:p>
            <w:pPr>
              <w:pStyle w:val="Normal"/>
              <w:numPr>
                <w:ilvl w:val="0"/>
                <w:numId w:val="6"/>
              </w:numPr>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Pagobancomat %.......</w:t>
            </w:r>
            <w:r>
              <w:rPr>
                <w:rFonts w:ascii="Times New Roman" w:hAnsi="Times New Roman"/>
                <w:color w:val="000000"/>
                <w:sz w:val="24"/>
                <w:szCs w:val="24"/>
              </w:rPr>
              <w:t xml:space="preserve"> </w:t>
            </w:r>
          </w:p>
          <w:p>
            <w:pPr>
              <w:pStyle w:val="Normal"/>
              <w:numPr>
                <w:ilvl w:val="0"/>
                <w:numId w:val="6"/>
              </w:numPr>
              <w:spacing w:lineRule="auto" w:line="240" w:beforeAutospacing="1" w:afterAutospacing="1"/>
              <w:rPr>
                <w:rFonts w:ascii="Times New Roman" w:hAnsi="Times New Roman"/>
                <w:color w:val="000000"/>
                <w:sz w:val="24"/>
                <w:szCs w:val="24"/>
              </w:rPr>
            </w:pPr>
            <w:r>
              <w:rPr>
                <w:rFonts w:ascii="Times New Roman" w:hAnsi="Times New Roman"/>
                <w:b/>
                <w:bCs/>
                <w:color w:val="000000"/>
                <w:sz w:val="24"/>
                <w:szCs w:val="24"/>
              </w:rPr>
              <w:t>America Express %......</w:t>
            </w:r>
          </w:p>
          <w:p>
            <w:pPr>
              <w:pStyle w:val="Normal"/>
              <w:spacing w:lineRule="auto" w:line="240" w:beforeAutospacing="1" w:afterAutospacing="1"/>
              <w:rPr>
                <w:rFonts w:ascii="Times New Roman" w:hAnsi="Times New Roman"/>
                <w:color w:val="000000"/>
                <w:sz w:val="24"/>
                <w:szCs w:val="24"/>
              </w:rPr>
            </w:pPr>
            <w:r>
              <w:rPr>
                <w:rFonts w:ascii="Times New Roman" w:hAnsi="Times New Roman"/>
                <w:color w:val="000000"/>
                <w:sz w:val="24"/>
                <w:szCs w:val="24"/>
              </w:rPr>
              <w:t>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[2]</w:t>
            </w:r>
          </w:p>
        </w:tc>
      </w:tr>
      <w:tr>
        <w:trPr>
          <w:tblHeader w:val="true"/>
        </w:trPr>
        <w:tc>
          <w:tcPr>
            <w:tcW w:w="84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color w:val="000000"/>
                <w:sz w:val="24"/>
                <w:szCs w:val="24"/>
              </w:rPr>
              <w:t>PUNTEGGIO TOTALE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Autospacing="1" w:afterAutospacing="1"/>
              <w:jc w:val="center"/>
              <w:rPr>
                <w:rFonts w:ascii="Times New Roman" w:hAnsi="Times New Roman"/>
                <w:color w:val="000000"/>
                <w:sz w:val="24"/>
                <w:szCs w:val="24"/>
              </w:rPr>
            </w:pPr>
            <w:r>
              <w:rPr>
                <w:rFonts w:ascii="Times New Roman" w:hAnsi="Times New Roman"/>
                <w:b/>
                <w:bCs/>
                <w:i/>
                <w:iCs/>
                <w:color w:val="000000"/>
                <w:sz w:val="24"/>
                <w:szCs w:val="24"/>
              </w:rPr>
              <w:t>[90]</w:t>
            </w:r>
          </w:p>
        </w:tc>
      </w:tr>
    </w:tbl>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Il merito economico di cui ai Punti 1, 2, 5, 6, 7, 8, 9, 13, 14, 15, 16, 17, e 18 - “PE1”, “PE2”, “PE5”, “PE6 ”, “PE7”, “PE8”, “PE9 ”, “PE13”, “PE14”, “PE15”, </w:t>
      </w:r>
      <w:r>
        <w:rPr>
          <w:rFonts w:ascii="Times New Roman" w:hAnsi="Times New Roman"/>
          <w:color w:val="000000"/>
          <w:sz w:val="24"/>
          <w:szCs w:val="24"/>
          <w:vertAlign w:val="subscript"/>
        </w:rPr>
        <w:t>“PE16</w:t>
      </w:r>
      <w:r>
        <w:rPr>
          <w:rFonts w:ascii="Times New Roman" w:hAnsi="Times New Roman"/>
          <w:color w:val="000000"/>
          <w:sz w:val="24"/>
          <w:szCs w:val="24"/>
        </w:rPr>
        <w:t xml:space="preserve"> ”, “PE17” e “PE18” - sarà attribuito sulla base della seguente formula: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 1, 2, 5 , 6, 7, 8, 9, 13, 14, 15, 16, 17, 18 = (V max - V i.esimo) / (V max - V min) x [ ... ]</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Dove: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V i.esimo = valore offerto dal concorrente i.esimo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V max = valore più alto tra quelli offerti dai concorrenti ammessi alla fase di valutazione delle offerte economiche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V min = valore più basso tra quelli offerti dai concorrenti ammessi alla fase di valutazione delle offerte economiche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merito economico di cui al Punto 10 - “PE10” - sarà attribuito sulla base della seguente formula: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PE10 = (T i.esimo / T </w:t>
      </w:r>
      <w:r>
        <w:rPr>
          <w:rFonts w:ascii="Times New Roman" w:hAnsi="Times New Roman"/>
          <w:color w:val="000000"/>
          <w:sz w:val="24"/>
          <w:szCs w:val="24"/>
          <w:vertAlign w:val="subscript"/>
        </w:rPr>
        <w:t>max)</w:t>
      </w:r>
      <w:r>
        <w:rPr>
          <w:rFonts w:ascii="Times New Roman" w:hAnsi="Times New Roman"/>
          <w:color w:val="000000"/>
          <w:sz w:val="24"/>
          <w:szCs w:val="24"/>
        </w:rPr>
        <w:t xml:space="preserve"> x [...]</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Dove: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 i.esimo = tasso offerto dal concorrente i.esimo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 max = tasso più alto tra quelli offerti dai concorrenti ammessi alla fase di valutazione delle offerte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economiche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Si precisa che tale punteggio sarà attribuito in funzione del valore complessivo dato dal tasso EURIBOR 365 a 3 mesi, media mese precedente, la cui liquidazione ha luogo con cadenza trimestrale ed i punti percentuali in aumento/diminuzione offerti dal Gestore.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merito economico di cui ai Punti 11 e 12 – “PE1 1” e “PE12” - sarà attribuito sulla base della seguente formula: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PE11, 12 = [(T max - T i.esimo) / (T max - T min)] x [...]</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Dove: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 i.esimo = tasso offerto dal concorrente i.esimo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T </w:t>
      </w:r>
      <w:r>
        <w:rPr>
          <w:rFonts w:ascii="Times New Roman" w:hAnsi="Times New Roman"/>
          <w:color w:val="000000"/>
          <w:sz w:val="24"/>
          <w:szCs w:val="24"/>
          <w:vertAlign w:val="subscript"/>
        </w:rPr>
        <w:t>max</w:t>
      </w:r>
      <w:r>
        <w:rPr>
          <w:rFonts w:ascii="Times New Roman" w:hAnsi="Times New Roman"/>
          <w:color w:val="000000"/>
          <w:sz w:val="24"/>
          <w:szCs w:val="24"/>
        </w:rPr>
        <w:t xml:space="preserve"> = tasso più alto tra quelli offerti dai concorrenti ammessi alla fase di valutazione delle offerte economiche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T min = tasso più basso tra quelli offerti dai concorrenti ammessi alla fase di valutazione delle offerte economiche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Si precisa che tale punteggio sarà attribuito in funzione del valore complessivo dato dal tasso EURIBOR 365 a 1 mese, la cui liquidazione ha luogo con cadenza trimestrale ed i punti percentuali in aumento/diminuzione offerti dal Gestore.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i punti 1, 2, 5, 6, 7, 8, 9, 13, 14, 15, 16 e 17 in caso di servizio offerto al valore pari a € 0,00 (zero) sarà attribuito il punteggio massimo sopra indicato.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Per il punto 18 in caso di servizio offerto al valore pari a 0,00 % (zero) sarà attribuito il punteggio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massimo sopra indicato.</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Il Punteggio Totale </w:t>
      </w:r>
      <w:r>
        <w:rPr>
          <w:rFonts w:ascii="Times New Roman" w:hAnsi="Times New Roman"/>
          <w:b/>
          <w:bCs/>
          <w:color w:val="000000"/>
          <w:sz w:val="24"/>
          <w:szCs w:val="24"/>
        </w:rPr>
        <w:t xml:space="preserve">PTOT </w:t>
      </w:r>
      <w:r>
        <w:rPr>
          <w:rFonts w:ascii="Times New Roman" w:hAnsi="Times New Roman"/>
          <w:color w:val="000000"/>
          <w:sz w:val="24"/>
          <w:szCs w:val="24"/>
        </w:rPr>
        <w:t>attribuito a ciascuna offerta sarà uguale a PTi + PEi, dove</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PTi = somma dei punteggi di merito tecnico dell’Offerta i.esima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PEi = somma dei punteggi di merito economico dell’Offerta i.esima</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In particolare:</w:t>
      </w:r>
    </w:p>
    <w:p>
      <w:pPr>
        <w:pStyle w:val="Normal"/>
        <w:numPr>
          <w:ilvl w:val="0"/>
          <w:numId w:val="7"/>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il punteggio di merito tecnico PTi sarà calcolato sommando i punteggi conseguiti per ciascun criterio di valutazione sopra indicato (tabella A). </w:t>
      </w:r>
    </w:p>
    <w:p>
      <w:pPr>
        <w:pStyle w:val="Normal"/>
        <w:numPr>
          <w:ilvl w:val="0"/>
          <w:numId w:val="7"/>
        </w:numPr>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il punteggio di merito economico PEi, verrà attribuito sommando i punteggi conseguiti per ciascun criterio di valutazione sopra indicato (tabella B).</w:t>
      </w:r>
    </w:p>
    <w:p>
      <w:pPr>
        <w:pStyle w:val="Normal"/>
        <w:spacing w:lineRule="auto" w:line="240" w:beforeAutospacing="1" w:afterAutospacing="1"/>
        <w:jc w:val="both"/>
        <w:rPr>
          <w:rFonts w:ascii="Times New Roman" w:hAnsi="Times New Roman"/>
          <w:color w:val="000000"/>
          <w:sz w:val="24"/>
          <w:szCs w:val="24"/>
        </w:rPr>
      </w:pPr>
      <w:r>
        <w:rPr>
          <w:rFonts w:ascii="Times New Roman" w:hAnsi="Times New Roman"/>
          <w:color w:val="000000"/>
          <w:sz w:val="24"/>
          <w:szCs w:val="24"/>
        </w:rPr>
        <w:t>Si precisa che i valori offerti dovranno essere espressi con un numero di cifre decimali non superiore a 2 (due). In caso di valori espressi con cifre decimali maggiori di due l’Istituto procederà a troncare gli stessi alla seconda cifra decimale.</w:t>
      </w:r>
    </w:p>
    <w:p>
      <w:pPr>
        <w:pStyle w:val="Normal"/>
        <w:spacing w:lineRule="auto" w:line="240" w:beforeAutospacing="1" w:afterAutospacing="1"/>
        <w:jc w:val="both"/>
        <w:rPr/>
      </w:pPr>
      <w:r>
        <w:rPr>
          <w:rFonts w:ascii="Times New Roman" w:hAnsi="Times New Roman"/>
          <w:color w:val="000000"/>
          <w:sz w:val="24"/>
          <w:szCs w:val="24"/>
        </w:rPr>
        <w:t>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w:t>
      </w:r>
    </w:p>
    <w:sectPr>
      <w:headerReference w:type="default" r:id="rId11"/>
      <w:footerReference w:type="default" r:id="rId12"/>
      <w:type w:val="nextPage"/>
      <w:pgSz w:w="12240" w:h="15840"/>
      <w:pgMar w:left="1134" w:right="1134"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sz w:val="18"/>
        <w:szCs w:val="18"/>
      </w:rPr>
      <w:fldChar w:fldCharType="begin"/>
    </w:r>
    <w:r>
      <w:instrText> PAGE </w:instrText>
    </w:r>
    <w:r>
      <w:fldChar w:fldCharType="separate"/>
    </w:r>
    <w:r>
      <w:t>11</w:t>
    </w:r>
    <w: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 xml:space="preserve">Allegato </w:t>
    </w:r>
    <w:r>
      <w:rPr/>
      <w:t>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2">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3">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4">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5">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6">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7">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53e5"/>
    <w:pPr>
      <w:widowControl/>
      <w:suppressAutoHyphens w:val="true"/>
      <w:bidi w:val="0"/>
      <w:spacing w:lineRule="auto" w:line="276" w:before="0" w:after="200"/>
      <w:jc w:val="left"/>
    </w:pPr>
    <w:rPr>
      <w:rFonts w:ascii="Calibri" w:hAnsi="Calibri" w:eastAsia="Times New Roman" w:cs="Times New Roman"/>
      <w:color w:val="auto"/>
      <w:sz w:val="22"/>
      <w:szCs w:val="22"/>
      <w:lang w:val="it-IT" w:eastAsia="it-IT"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semiHidden/>
    <w:qFormat/>
    <w:locked/>
    <w:rsid w:val="00da4e2f"/>
    <w:rPr>
      <w:rFonts w:cs="Times New Roman"/>
    </w:rPr>
  </w:style>
  <w:style w:type="character" w:styleId="PidipaginaCarattere" w:customStyle="1">
    <w:name w:val="Piè di pagina Carattere"/>
    <w:link w:val="Pidipagina"/>
    <w:uiPriority w:val="99"/>
    <w:qFormat/>
    <w:locked/>
    <w:rsid w:val="00da4e2f"/>
    <w:rPr>
      <w:rFonts w:cs="Times New Roman"/>
    </w:rPr>
  </w:style>
  <w:style w:type="character" w:styleId="TestofumettoCarattere" w:customStyle="1">
    <w:name w:val="Testo fumetto Carattere"/>
    <w:link w:val="Testofumetto"/>
    <w:uiPriority w:val="99"/>
    <w:semiHidden/>
    <w:qFormat/>
    <w:locked/>
    <w:rsid w:val="0071600c"/>
    <w:rPr>
      <w:rFonts w:ascii="Tahoma" w:hAnsi="Tahoma" w:cs="Tahoma"/>
      <w:sz w:val="16"/>
      <w:szCs w:val="16"/>
    </w:rPr>
  </w:style>
  <w:style w:type="character" w:styleId="CollegamentoInternet">
    <w:name w:val="Collegamento Internet"/>
    <w:basedOn w:val="DefaultParagraphFont"/>
    <w:rsid w:val="00e612c5"/>
    <w:rPr>
      <w:color w:val="000000"/>
      <w:u w:val="single"/>
    </w:rPr>
  </w:style>
  <w:style w:type="character" w:styleId="Strong">
    <w:name w:val="Strong"/>
    <w:basedOn w:val="DefaultParagraphFont"/>
    <w:qFormat/>
    <w:locked/>
    <w:rsid w:val="00e612c5"/>
    <w:rPr>
      <w:b/>
      <w:bCs/>
    </w:rPr>
  </w:style>
  <w:style w:type="character" w:styleId="Enfasi">
    <w:name w:val="Enfasi"/>
    <w:basedOn w:val="DefaultParagraphFont"/>
    <w:qFormat/>
    <w:locked/>
    <w:rsid w:val="00e612c5"/>
    <w:rPr>
      <w:i/>
      <w:iCs/>
    </w:rPr>
  </w:style>
  <w:style w:type="character" w:styleId="ListLabel1">
    <w:name w:val="ListLabel 1"/>
    <w:qFormat/>
    <w:rPr>
      <w:rFonts w:cs="Times New Roman"/>
    </w:rPr>
  </w:style>
  <w:style w:type="character" w:styleId="ListLabel2">
    <w:name w:val="ListLabel 2"/>
    <w:qFormat/>
    <w:rPr>
      <w:color w:val="00000A"/>
      <w:sz w:val="22"/>
    </w:rPr>
  </w:style>
  <w:style w:type="character" w:styleId="ListLabel3">
    <w:name w:val="ListLabel 3"/>
    <w:qFormat/>
    <w:rPr>
      <w:rFonts w:eastAsia="Times New Roman"/>
    </w:rPr>
  </w:style>
  <w:style w:type="character" w:styleId="ListLabel4">
    <w:name w:val="ListLabel 4"/>
    <w:qFormat/>
    <w:rPr>
      <w:rFonts w:cs="Times New Roman"/>
      <w:b/>
    </w:rPr>
  </w:style>
  <w:style w:type="character" w:styleId="ListLabel5">
    <w:name w:val="ListLabel 5"/>
    <w:qFormat/>
    <w:rPr>
      <w:rFonts w:cs="Times New Roman"/>
      <w:b w:val="false"/>
    </w:rPr>
  </w:style>
  <w:style w:type="character" w:styleId="ListLabel6">
    <w:name w:val="ListLabel 6"/>
    <w:qFormat/>
    <w:rPr>
      <w:rFonts w:ascii="Times New Roman" w:hAnsi="Times New Roman"/>
      <w:b/>
      <w:sz w:val="24"/>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customStyle="1">
    <w:name w:val="List Paragraph"/>
    <w:basedOn w:val="Normal"/>
    <w:uiPriority w:val="99"/>
    <w:qFormat/>
    <w:rsid w:val="003102cb"/>
    <w:pPr>
      <w:spacing w:before="0" w:after="200"/>
      <w:ind w:left="720" w:hanging="0"/>
      <w:contextualSpacing/>
    </w:pPr>
    <w:rPr/>
  </w:style>
  <w:style w:type="paragraph" w:styleId="Intestazione">
    <w:name w:val="Intestazione"/>
    <w:basedOn w:val="Normal"/>
    <w:link w:val="IntestazioneCarattere"/>
    <w:uiPriority w:val="99"/>
    <w:semiHidden/>
    <w:rsid w:val="00da4e2f"/>
    <w:pPr>
      <w:tabs>
        <w:tab w:val="center" w:pos="4986" w:leader="none"/>
        <w:tab w:val="right" w:pos="9972" w:leader="none"/>
      </w:tabs>
      <w:spacing w:lineRule="auto" w:line="240" w:before="0" w:after="0"/>
    </w:pPr>
    <w:rPr/>
  </w:style>
  <w:style w:type="paragraph" w:styleId="Pidipagina">
    <w:name w:val="Piè di pagina"/>
    <w:basedOn w:val="Normal"/>
    <w:link w:val="PidipaginaCarattere"/>
    <w:uiPriority w:val="99"/>
    <w:rsid w:val="00da4e2f"/>
    <w:pPr>
      <w:tabs>
        <w:tab w:val="center" w:pos="4986" w:leader="none"/>
        <w:tab w:val="right" w:pos="9972" w:leader="none"/>
      </w:tabs>
      <w:spacing w:lineRule="auto" w:line="240" w:before="0" w:after="0"/>
    </w:pPr>
    <w:rPr/>
  </w:style>
  <w:style w:type="paragraph" w:styleId="BalloonText">
    <w:name w:val="Balloon Text"/>
    <w:basedOn w:val="Normal"/>
    <w:link w:val="TestofumettoCarattere"/>
    <w:uiPriority w:val="99"/>
    <w:semiHidden/>
    <w:qFormat/>
    <w:rsid w:val="0071600c"/>
    <w:pPr>
      <w:spacing w:lineRule="auto" w:line="240" w:before="0" w:after="0"/>
    </w:pPr>
    <w:rPr>
      <w:rFonts w:ascii="Tahoma" w:hAnsi="Tahoma" w:cs="Tahoma"/>
      <w:sz w:val="16"/>
      <w:szCs w:val="16"/>
    </w:rPr>
  </w:style>
  <w:style w:type="paragraph" w:styleId="NormalWeb">
    <w:name w:val="Normal (Web)"/>
    <w:basedOn w:val="Normal"/>
    <w:qFormat/>
    <w:rsid w:val="00e612c5"/>
    <w:pPr>
      <w:spacing w:lineRule="auto" w:line="240" w:beforeAutospacing="1" w:afterAutospacing="1"/>
    </w:pPr>
    <w:rPr>
      <w:rFonts w:ascii="Times New Roman" w:hAnsi="Times New Roman"/>
      <w:color w:val="000000"/>
      <w:sz w:val="24"/>
      <w:szCs w:val="24"/>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9424a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mm/" TargetMode="External"/><Relationship Id="rId3" Type="http://schemas.openxmlformats.org/officeDocument/2006/relationships/hyperlink" Target="http://ss.mm/" TargetMode="External"/><Relationship Id="rId4" Type="http://schemas.openxmlformats.org/officeDocument/2006/relationships/hyperlink" Target="http://ss.mm/" TargetMode="External"/><Relationship Id="rId5" Type="http://schemas.openxmlformats.org/officeDocument/2006/relationships/hyperlink" Target="http://ss.mm/" TargetMode="External"/><Relationship Id="rId6" Type="http://schemas.openxmlformats.org/officeDocument/2006/relationships/hyperlink" Target="http://ss.mm/" TargetMode="External"/><Relationship Id="rId7" Type="http://schemas.openxmlformats.org/officeDocument/2006/relationships/hyperlink" Target="http://ss.mm/" TargetMode="External"/><Relationship Id="rId8" Type="http://schemas.openxmlformats.org/officeDocument/2006/relationships/hyperlink" Target="http://ss.mm/" TargetMode="External"/><Relationship Id="rId9" Type="http://schemas.openxmlformats.org/officeDocument/2006/relationships/hyperlink" Target="mhtml:file://C:\Users\manuelacesero\Documents\tesoreria unica\schema conv cassa 20_12_2013\20_12_2013 schema convenzione di cassa aggiornamento alla luce del D_L_ 95-2012 convertito nella Legge 135-2012_php.mht!https://mail.pubblica.istruzione.it/squirrelmail/images/blank.png" TargetMode="External"/><Relationship Id="rId10" Type="http://schemas.openxmlformats.org/officeDocument/2006/relationships/hyperlink" Target="mhtml:file://C:\Users\manuelacesero\Documents\tesoreria unica\schema conv cassa 20_12_2013\20_12_2013 schema convenzione di cassa aggiornamento alla luce del D_L_ 95-2012 convertito nella Legge 135-2012_php.mht!https://mail.pubblica.istruzione.it/squirrelmail/images/blank.pn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LibreOffice/4.4.4.3$Windows_x86 LibreOffice_project/2c39ebcf046445232b798108aa8a7e7d89552ea8</Application>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2018-11-26T16:09:00Z</dcterms:created>
  <dc:language>it-IT</dc:language>
  <cp:lastPrinted>2015-05-25T09:29:00Z</cp:lastPrinted>
  <dcterms:modified xsi:type="dcterms:W3CDTF">2018-12-05T23:57:07Z</dcterms:modified>
  <cp:revision>2</cp:revision>
  <dc:title>SCHEMA CAPITOLATO TECNICO PER L’AFFIDAMENTO DEL SERVIZIO DI CASSA A FAVORE DELL’ISTITUTO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