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DA1" w:rsidRDefault="00701DA1" w:rsidP="00701DA1">
      <w:pPr>
        <w:spacing w:after="0"/>
      </w:pPr>
    </w:p>
    <w:p w:rsidR="00701DA1" w:rsidRDefault="00701DA1" w:rsidP="00701DA1">
      <w:pPr>
        <w:spacing w:after="0"/>
      </w:pPr>
      <w:proofErr w:type="spellStart"/>
      <w:r>
        <w:t>Prot</w:t>
      </w:r>
      <w:proofErr w:type="spellEnd"/>
      <w:r>
        <w:t>.</w:t>
      </w:r>
      <w:r w:rsidR="00624795">
        <w:t xml:space="preserve"> </w:t>
      </w:r>
      <w:r w:rsidR="00624795">
        <w:fldChar w:fldCharType="begin">
          <w:ffData>
            <w:name w:val="Testo1"/>
            <w:enabled/>
            <w:calcOnExit w:val="0"/>
            <w:textInput/>
          </w:ffData>
        </w:fldChar>
      </w:r>
      <w:bookmarkStart w:id="0" w:name="Testo1"/>
      <w:r w:rsidR="00624795">
        <w:instrText xml:space="preserve"> FORMTEXT </w:instrText>
      </w:r>
      <w:r w:rsidR="00624795">
        <w:fldChar w:fldCharType="separate"/>
      </w:r>
      <w:r w:rsidR="00624795">
        <w:rPr>
          <w:noProof/>
        </w:rPr>
        <w:t> </w:t>
      </w:r>
      <w:r w:rsidR="00624795">
        <w:rPr>
          <w:noProof/>
        </w:rPr>
        <w:t> </w:t>
      </w:r>
      <w:r w:rsidR="00624795">
        <w:rPr>
          <w:noProof/>
        </w:rPr>
        <w:t> </w:t>
      </w:r>
      <w:r w:rsidR="00624795">
        <w:rPr>
          <w:noProof/>
        </w:rPr>
        <w:t> </w:t>
      </w:r>
      <w:r w:rsidR="00624795">
        <w:rPr>
          <w:noProof/>
        </w:rPr>
        <w:t> </w:t>
      </w:r>
      <w:r w:rsidR="00624795">
        <w:fldChar w:fldCharType="end"/>
      </w:r>
      <w:bookmarkEnd w:id="0"/>
      <w:r>
        <w:t xml:space="preserve">                                                                                 Nervesa della Battaglia, </w:t>
      </w:r>
      <w:r w:rsidR="006D24B5">
        <w:t>0</w:t>
      </w:r>
      <w:r w:rsidR="00822C84">
        <w:t>3</w:t>
      </w:r>
      <w:r w:rsidR="006D24B5">
        <w:t>.11.2020</w:t>
      </w:r>
    </w:p>
    <w:p w:rsidR="00701DA1" w:rsidRDefault="00701DA1" w:rsidP="00701DA1">
      <w:pPr>
        <w:spacing w:after="0"/>
      </w:pPr>
    </w:p>
    <w:tbl>
      <w:tblPr>
        <w:tblStyle w:val="Grigliatabella"/>
        <w:tblW w:w="0" w:type="auto"/>
        <w:tblInd w:w="4248" w:type="dxa"/>
        <w:tblBorders>
          <w:top w:val="none" w:sz="0" w:space="0" w:color="auto"/>
          <w:left w:val="single" w:sz="4" w:space="0" w:color="BFBFBF" w:themeColor="background1" w:themeShade="BF"/>
          <w:bottom w:val="none" w:sz="0" w:space="0" w:color="auto"/>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097"/>
      </w:tblGrid>
      <w:tr w:rsidR="00701DA1" w:rsidTr="00701DA1">
        <w:tc>
          <w:tcPr>
            <w:tcW w:w="5097" w:type="dxa"/>
          </w:tcPr>
          <w:p w:rsidR="00701DA1" w:rsidRDefault="00701DA1" w:rsidP="00701DA1"/>
        </w:tc>
      </w:tr>
    </w:tbl>
    <w:p w:rsidR="000C5A14" w:rsidRDefault="000C5A14" w:rsidP="00701DA1">
      <w:pPr>
        <w:spacing w:after="0"/>
      </w:pPr>
    </w:p>
    <w:p w:rsidR="00A809D4" w:rsidRPr="006D24B5" w:rsidRDefault="00701DA1" w:rsidP="00701DA1">
      <w:pPr>
        <w:spacing w:after="0"/>
        <w:rPr>
          <w:b/>
        </w:rPr>
      </w:pPr>
      <w:r w:rsidRPr="006D24B5">
        <w:rPr>
          <w:b/>
        </w:rPr>
        <w:t xml:space="preserve">OGGETTO: </w:t>
      </w:r>
      <w:r w:rsidR="006D24B5" w:rsidRPr="006D24B5">
        <w:rPr>
          <w:b/>
        </w:rPr>
        <w:t>Registro delle astensioni</w:t>
      </w:r>
      <w:r w:rsidR="006D24B5">
        <w:rPr>
          <w:b/>
        </w:rPr>
        <w:t xml:space="preserve"> per conflitto di interesse </w:t>
      </w:r>
      <w:r w:rsidR="006D24B5" w:rsidRPr="006D24B5">
        <w:rPr>
          <w:b/>
        </w:rPr>
        <w:t>(PTPC, processo 1, misura1)</w:t>
      </w:r>
    </w:p>
    <w:p w:rsidR="006D24B5" w:rsidRDefault="006D24B5" w:rsidP="00701DA1">
      <w:pPr>
        <w:spacing w:after="0"/>
      </w:pPr>
    </w:p>
    <w:p w:rsidR="006D24B5" w:rsidRDefault="006D24B5" w:rsidP="00701DA1">
      <w:pPr>
        <w:spacing w:after="0"/>
      </w:pPr>
    </w:p>
    <w:p w:rsidR="006D24B5" w:rsidRDefault="006D24B5" w:rsidP="00822C84">
      <w:pPr>
        <w:spacing w:after="0" w:line="360" w:lineRule="auto"/>
        <w:jc w:val="both"/>
      </w:pPr>
      <w:r>
        <w:t xml:space="preserve">VISTO il D.D.G.USR Veneto 10895/17 VISTO l’art. 54 comma 2 della Costituzione, che impone il dovere di esercitare le funzioni pubbliche con “disciplina ed onore”; </w:t>
      </w:r>
    </w:p>
    <w:p w:rsidR="00822C84" w:rsidRDefault="006D24B5" w:rsidP="00822C84">
      <w:pPr>
        <w:spacing w:after="0" w:line="360" w:lineRule="auto"/>
        <w:jc w:val="both"/>
      </w:pPr>
      <w:r>
        <w:t xml:space="preserve">VISTO l’art. 98 della Costituzione stabilisce il principio di esclusività del servizio dei pubblici dipendenti; </w:t>
      </w:r>
    </w:p>
    <w:p w:rsidR="00822C84" w:rsidRDefault="006D24B5" w:rsidP="00822C84">
      <w:pPr>
        <w:spacing w:after="0" w:line="360" w:lineRule="auto"/>
        <w:jc w:val="both"/>
      </w:pPr>
      <w:r>
        <w:t xml:space="preserve">VISTO l’art. 97 indica buon andamento e imparzialità come regole fondamentali dell’azione amministrativa; </w:t>
      </w:r>
    </w:p>
    <w:p w:rsidR="00822C84" w:rsidRDefault="006D24B5" w:rsidP="00822C84">
      <w:pPr>
        <w:spacing w:after="0" w:line="360" w:lineRule="auto"/>
        <w:jc w:val="both"/>
      </w:pPr>
      <w:r>
        <w:t xml:space="preserve">VISTO l’art. 6 bis della Legge 241/1990e </w:t>
      </w:r>
      <w:proofErr w:type="spellStart"/>
      <w:r>
        <w:t>s.m</w:t>
      </w:r>
      <w:proofErr w:type="spellEnd"/>
      <w:r>
        <w:t xml:space="preserve">., il quale stabilisce che il responsabile del procedimento e i titolari degli uffici competenti ad adottare i pareri, le valutazioni tecniche, gli atti procedimentali e il provvedimento finale devono astenersi in caso di conflitto di interessi, segnalando ogni situazione di conflitto, anche potenziale; </w:t>
      </w:r>
    </w:p>
    <w:p w:rsidR="00822C84" w:rsidRDefault="006D24B5" w:rsidP="00822C84">
      <w:pPr>
        <w:spacing w:after="0" w:line="360" w:lineRule="auto"/>
        <w:jc w:val="both"/>
      </w:pPr>
      <w:r>
        <w:t xml:space="preserve">VISTO il </w:t>
      </w:r>
      <w:proofErr w:type="spellStart"/>
      <w:r>
        <w:t>D.lgs</w:t>
      </w:r>
      <w:proofErr w:type="spellEnd"/>
      <w:r>
        <w:t xml:space="preserve"> 30 marzo 2001, n. 165 e </w:t>
      </w:r>
      <w:proofErr w:type="spellStart"/>
      <w:r>
        <w:t>s.m.i.</w:t>
      </w:r>
      <w:proofErr w:type="spellEnd"/>
      <w:r>
        <w:t>,</w:t>
      </w:r>
      <w:r w:rsidR="00822C84">
        <w:t xml:space="preserve"> r</w:t>
      </w:r>
      <w:r>
        <w:t>ecante “Norme generali sull'ordinamento del lavoro alle dipendenze delle amministrazioni pubbliche”</w:t>
      </w:r>
      <w:r w:rsidR="00822C84">
        <w:t>;</w:t>
      </w:r>
    </w:p>
    <w:p w:rsidR="00822C84" w:rsidRDefault="006D24B5" w:rsidP="00822C84">
      <w:pPr>
        <w:spacing w:after="0" w:line="360" w:lineRule="auto"/>
        <w:jc w:val="both"/>
      </w:pPr>
      <w:r>
        <w:t xml:space="preserve">VISTA la Legge 6 novembre 2012, n. 190 concernente le disposizioni per la prevenzione e la repressione della corruzione e dell'illegalità nella pubblica amministrazione; </w:t>
      </w:r>
    </w:p>
    <w:p w:rsidR="00822C84" w:rsidRDefault="006D24B5" w:rsidP="00822C84">
      <w:pPr>
        <w:spacing w:after="0" w:line="360" w:lineRule="auto"/>
        <w:jc w:val="both"/>
      </w:pPr>
      <w:r>
        <w:t>VISTO</w:t>
      </w:r>
      <w:r w:rsidR="00822C84">
        <w:t xml:space="preserve"> </w:t>
      </w:r>
      <w:r>
        <w:t xml:space="preserve">il D.lgs. 14 marzo 2013 n. 33, recante il riordino della disciplina riguardante il diritto di accesso civico e gli obblighi di pubblicità, trasparenza e diffusione di informazioni da parte delle pubbliche amministrazioni; </w:t>
      </w:r>
    </w:p>
    <w:p w:rsidR="00822C84" w:rsidRDefault="00822C84" w:rsidP="00822C84">
      <w:pPr>
        <w:spacing w:after="0" w:line="360" w:lineRule="auto"/>
        <w:jc w:val="both"/>
      </w:pPr>
      <w:r>
        <w:t xml:space="preserve">VISTO il D. </w:t>
      </w:r>
      <w:proofErr w:type="spellStart"/>
      <w:r>
        <w:t>L</w:t>
      </w:r>
      <w:r w:rsidR="006D24B5">
        <w:t>gs</w:t>
      </w:r>
      <w:proofErr w:type="spellEnd"/>
      <w:r w:rsidR="006D24B5">
        <w:t xml:space="preserve"> 8 aprile 2013, n. 39, concernente le disposizioni in materia di </w:t>
      </w:r>
      <w:proofErr w:type="spellStart"/>
      <w:r w:rsidR="006D24B5">
        <w:t>inconferibilità</w:t>
      </w:r>
      <w:proofErr w:type="spellEnd"/>
      <w:r w:rsidR="006D24B5">
        <w:t xml:space="preserve"> e incompatibilità degli incarichi presso le pubbliche amministrazioni e presso gli enti privati in controllo pubblico, a norma dell'articolo 1, commi 49 e 50, della Legge 6 novembre 2012, n. 190, così come modificato dal D.</w:t>
      </w:r>
      <w:r>
        <w:t xml:space="preserve"> </w:t>
      </w:r>
      <w:proofErr w:type="spellStart"/>
      <w:r>
        <w:t>L</w:t>
      </w:r>
      <w:r w:rsidR="006D24B5">
        <w:t>gs</w:t>
      </w:r>
      <w:proofErr w:type="spellEnd"/>
      <w:r w:rsidR="006D24B5">
        <w:t xml:space="preserve"> 21 giugno 2013, n. 69, convertito con modificazioni dalla L. 9 agosto 2013, n. 98; </w:t>
      </w:r>
    </w:p>
    <w:p w:rsidR="00822C84" w:rsidRDefault="006D24B5" w:rsidP="00822C84">
      <w:pPr>
        <w:spacing w:after="0" w:line="360" w:lineRule="auto"/>
        <w:jc w:val="both"/>
      </w:pPr>
      <w:r>
        <w:t>VISTO il DPR 16 aprile 2013, n. 62,</w:t>
      </w:r>
      <w:bookmarkStart w:id="1" w:name="_GoBack"/>
      <w:bookmarkEnd w:id="1"/>
      <w:r>
        <w:t xml:space="preserve">concernente il Regolamento recante codice di comportamento dei dipendenti pubblici, a norma dell'articolo 54 del decreto legislativo 30 marzo 2001, n. 165; </w:t>
      </w:r>
    </w:p>
    <w:p w:rsidR="00822C84" w:rsidRDefault="006D24B5" w:rsidP="00822C84">
      <w:pPr>
        <w:spacing w:after="0" w:line="360" w:lineRule="auto"/>
        <w:jc w:val="both"/>
      </w:pPr>
      <w:r>
        <w:t>VISTO il DM n. 525 del 30.06.2014,</w:t>
      </w:r>
      <w:r w:rsidR="000C11F4">
        <w:t xml:space="preserve"> </w:t>
      </w:r>
      <w:r>
        <w:t xml:space="preserve">concernente il Codice di comportamento del Ministero dell’istruzione, dell’università e della ricerca; </w:t>
      </w:r>
    </w:p>
    <w:p w:rsidR="00822C84" w:rsidRDefault="006D24B5" w:rsidP="00822C84">
      <w:pPr>
        <w:spacing w:after="0" w:line="360" w:lineRule="auto"/>
        <w:jc w:val="both"/>
      </w:pPr>
      <w:r>
        <w:t xml:space="preserve">CONSIDERATA la necessità di istituire un “Registro delle astensioni per conflitto di interessi”, </w:t>
      </w:r>
    </w:p>
    <w:p w:rsidR="00822C84" w:rsidRDefault="00822C84" w:rsidP="00822C84">
      <w:pPr>
        <w:spacing w:after="0" w:line="360" w:lineRule="auto"/>
        <w:jc w:val="both"/>
      </w:pPr>
    </w:p>
    <w:p w:rsidR="00822C84" w:rsidRDefault="006D24B5" w:rsidP="00822C84">
      <w:pPr>
        <w:spacing w:after="0" w:line="360" w:lineRule="auto"/>
        <w:jc w:val="center"/>
      </w:pPr>
      <w:r w:rsidRPr="00822C84">
        <w:rPr>
          <w:b/>
        </w:rPr>
        <w:t>DECRETA</w:t>
      </w:r>
    </w:p>
    <w:p w:rsidR="00822C84" w:rsidRDefault="006D24B5" w:rsidP="00822C84">
      <w:pPr>
        <w:spacing w:after="0" w:line="360" w:lineRule="auto"/>
      </w:pPr>
      <w:r w:rsidRPr="00822C84">
        <w:rPr>
          <w:b/>
        </w:rPr>
        <w:t>Art.1</w:t>
      </w:r>
      <w:r w:rsidR="00822C84">
        <w:rPr>
          <w:b/>
        </w:rPr>
        <w:t xml:space="preserve"> -</w:t>
      </w:r>
      <w:r w:rsidRPr="00822C84">
        <w:rPr>
          <w:b/>
        </w:rPr>
        <w:t xml:space="preserve"> Obbligo di astensione</w:t>
      </w:r>
      <w:r>
        <w:t xml:space="preserve"> </w:t>
      </w:r>
    </w:p>
    <w:p w:rsidR="00822C84" w:rsidRDefault="006D24B5" w:rsidP="00822C84">
      <w:pPr>
        <w:spacing w:after="0" w:line="360" w:lineRule="auto"/>
      </w:pPr>
      <w:r>
        <w:t xml:space="preserve">La comunicazione di astensione del Dipendente dovrà farsi secondo le modalità e nei tempi che sono indicati dall’art. 7 del Decreto Ministeriale 525 del 2014 “Obbligo di astensione”, che si riporta testualmente 1. “Il </w:t>
      </w:r>
      <w:r>
        <w:lastRenderedPageBreak/>
        <w:t>dipendente si astiene dal partecipare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o dirigente. 2</w:t>
      </w:r>
      <w:proofErr w:type="gramStart"/>
      <w:r w:rsidR="000C11F4">
        <w:t>.”</w:t>
      </w:r>
      <w:r>
        <w:t>Il</w:t>
      </w:r>
      <w:proofErr w:type="gramEnd"/>
      <w:r>
        <w:t xml:space="preserve"> dipendente si astiene in ogni altro caso in cui esistano gravi ragioni di convenienza” . 3.” Il dipendente che nel rispetto del comma 1 si astiene comunica tale condizione per iscritto al Responsabile dell’ufficio specificando la situazione di conflitto. Il responsabile dell’ufficio, verificando il conflitto di interessi, prende gli opportuni provvedimenti, sostituendo l’interessato”. </w:t>
      </w:r>
    </w:p>
    <w:p w:rsidR="00822C84" w:rsidRDefault="00822C84" w:rsidP="00822C84">
      <w:pPr>
        <w:spacing w:after="0" w:line="360" w:lineRule="auto"/>
      </w:pPr>
      <w:r>
        <w:rPr>
          <w:b/>
        </w:rPr>
        <w:t xml:space="preserve">Art. 2 </w:t>
      </w:r>
      <w:r>
        <w:t xml:space="preserve">- </w:t>
      </w:r>
      <w:r w:rsidRPr="00822C84">
        <w:rPr>
          <w:b/>
        </w:rPr>
        <w:t>Annotazioni delle astensioni</w:t>
      </w:r>
      <w:r>
        <w:t xml:space="preserve"> </w:t>
      </w:r>
    </w:p>
    <w:p w:rsidR="00822C84" w:rsidRDefault="006D24B5" w:rsidP="00822C84">
      <w:pPr>
        <w:spacing w:after="0" w:line="360" w:lineRule="auto"/>
      </w:pPr>
      <w:r>
        <w:t xml:space="preserve">Le astensioni saranno annotate nel “Registro delle astensioni per conflitto di interessi” di cui all’art. 6 al fine di costituire una base informativa per il monitoraggio delle situazioni di conflitto di interessi verificatesi presso ogni struttura”. “Il dipendente che interviene per dovere d’ufficio o comunque a qualsiasi titolo partecipa ad un procedimento, anche senza esserne il responsabile, rispetto al quale possano essere coinvolti interessi propri ai sensi del precedente comma 1, ne dà immediata comunicazione al dirigente della struttura di appartenenza che decide sulla astensione del dipendente dalla partecipazione al procedimento in argomento”. </w:t>
      </w:r>
    </w:p>
    <w:p w:rsidR="00822C84" w:rsidRDefault="006D24B5" w:rsidP="00822C84">
      <w:pPr>
        <w:spacing w:after="0" w:line="360" w:lineRule="auto"/>
        <w:rPr>
          <w:b/>
        </w:rPr>
      </w:pPr>
      <w:r w:rsidRPr="00822C84">
        <w:rPr>
          <w:b/>
        </w:rPr>
        <w:t>A</w:t>
      </w:r>
      <w:r w:rsidR="00822C84" w:rsidRPr="00822C84">
        <w:rPr>
          <w:b/>
        </w:rPr>
        <w:t>rt</w:t>
      </w:r>
      <w:r w:rsidRPr="00822C84">
        <w:rPr>
          <w:b/>
        </w:rPr>
        <w:t>.3</w:t>
      </w:r>
      <w:r w:rsidR="00822C84" w:rsidRPr="00822C84">
        <w:rPr>
          <w:b/>
        </w:rPr>
        <w:t xml:space="preserve"> </w:t>
      </w:r>
      <w:r w:rsidR="00822C84">
        <w:rPr>
          <w:b/>
        </w:rPr>
        <w:t>–</w:t>
      </w:r>
      <w:r w:rsidR="00822C84" w:rsidRPr="00822C84">
        <w:rPr>
          <w:b/>
        </w:rPr>
        <w:t xml:space="preserve"> Documentazione</w:t>
      </w:r>
    </w:p>
    <w:p w:rsidR="00822C84" w:rsidRDefault="006D24B5" w:rsidP="00822C84">
      <w:pPr>
        <w:spacing w:after="0" w:line="360" w:lineRule="auto"/>
      </w:pPr>
      <w:r>
        <w:t>Tutta la documentazione relativa alle singole astensioni per conflitto di interessi è raccolta in un unico raccoglitore annuale e viene conservata per la durata di 5 anni.</w:t>
      </w:r>
    </w:p>
    <w:p w:rsidR="00822C84" w:rsidRDefault="006D24B5" w:rsidP="00822C84">
      <w:pPr>
        <w:spacing w:after="0" w:line="360" w:lineRule="auto"/>
      </w:pPr>
      <w:r w:rsidRPr="00822C84">
        <w:rPr>
          <w:b/>
        </w:rPr>
        <w:t>Art.4</w:t>
      </w:r>
      <w:r w:rsidR="00822C84">
        <w:rPr>
          <w:b/>
        </w:rPr>
        <w:t xml:space="preserve"> -</w:t>
      </w:r>
      <w:r w:rsidR="00822C84">
        <w:t xml:space="preserve"> </w:t>
      </w:r>
      <w:r w:rsidRPr="00822C84">
        <w:rPr>
          <w:b/>
        </w:rPr>
        <w:t>Violazione delle norme sull’astensione</w:t>
      </w:r>
      <w:r w:rsidR="00822C84">
        <w:t xml:space="preserve"> </w:t>
      </w:r>
    </w:p>
    <w:p w:rsidR="00822C84" w:rsidRDefault="006D24B5" w:rsidP="00822C84">
      <w:pPr>
        <w:spacing w:after="0" w:line="360" w:lineRule="auto"/>
      </w:pPr>
      <w:r>
        <w:t>Le conseguenze della violazione delle norme sull’astensione sono la nullità degli atti adottati e, in conseguenza di sentenze dichiarative della loro nullità</w:t>
      </w:r>
      <w:r w:rsidR="00822C84">
        <w:t>,</w:t>
      </w:r>
      <w:r>
        <w:t xml:space="preserve"> coloro che li hanno adottati ne rispondono sul piano della responsabilità amministrativa, salva l’eventuale responsabilità disciplinare di cui alla tabella allegata al DM n. 525 del 30.06.2014 </w:t>
      </w:r>
    </w:p>
    <w:p w:rsidR="00822C84" w:rsidRDefault="006D24B5" w:rsidP="00822C84">
      <w:pPr>
        <w:spacing w:after="0" w:line="360" w:lineRule="auto"/>
        <w:rPr>
          <w:b/>
        </w:rPr>
      </w:pPr>
      <w:r w:rsidRPr="00822C84">
        <w:rPr>
          <w:b/>
        </w:rPr>
        <w:t xml:space="preserve">Art.5 </w:t>
      </w:r>
      <w:r w:rsidR="00822C84">
        <w:rPr>
          <w:b/>
        </w:rPr>
        <w:t xml:space="preserve">- </w:t>
      </w:r>
      <w:r w:rsidRPr="00822C84">
        <w:rPr>
          <w:b/>
        </w:rPr>
        <w:t>Pubblicità</w:t>
      </w:r>
      <w:r w:rsidR="00822C84">
        <w:rPr>
          <w:b/>
        </w:rPr>
        <w:t xml:space="preserve"> </w:t>
      </w:r>
    </w:p>
    <w:p w:rsidR="00822C84" w:rsidRDefault="006D24B5" w:rsidP="00822C84">
      <w:pPr>
        <w:spacing w:after="0" w:line="360" w:lineRule="auto"/>
      </w:pPr>
      <w:r>
        <w:t xml:space="preserve">Il presente decreto sarà pubblicato sul sito dell’IC di </w:t>
      </w:r>
      <w:r w:rsidR="00822C84">
        <w:t xml:space="preserve">Giavera del Montello </w:t>
      </w:r>
      <w:r>
        <w:t>in “Amministrazione</w:t>
      </w:r>
      <w:r w:rsidR="00822C84">
        <w:t xml:space="preserve"> </w:t>
      </w:r>
      <w:r>
        <w:t>Trasparente”</w:t>
      </w:r>
      <w:r w:rsidR="00822C84">
        <w:t xml:space="preserve">. </w:t>
      </w:r>
    </w:p>
    <w:p w:rsidR="00822C84" w:rsidRDefault="00822C84" w:rsidP="00822C84">
      <w:pPr>
        <w:spacing w:after="0" w:line="360" w:lineRule="auto"/>
      </w:pPr>
    </w:p>
    <w:p w:rsidR="00822C84" w:rsidRDefault="006D24B5" w:rsidP="00822C84">
      <w:pPr>
        <w:spacing w:after="0" w:line="360" w:lineRule="auto"/>
        <w:ind w:left="4956" w:firstLine="708"/>
      </w:pPr>
      <w:r>
        <w:t xml:space="preserve"> La Dirigente Scolastica </w:t>
      </w:r>
    </w:p>
    <w:p w:rsidR="00624795" w:rsidRDefault="00822C84" w:rsidP="00822C84">
      <w:pPr>
        <w:spacing w:after="0" w:line="360" w:lineRule="auto"/>
        <w:ind w:left="4956" w:firstLine="708"/>
      </w:pPr>
      <w:r>
        <w:t>P</w:t>
      </w:r>
      <w:r w:rsidR="006D24B5">
        <w:t xml:space="preserve">rof.ssa </w:t>
      </w:r>
      <w:r>
        <w:t>Tiziana Mussato</w:t>
      </w:r>
    </w:p>
    <w:p w:rsidR="00624795" w:rsidRDefault="00624795" w:rsidP="00822C84">
      <w:pPr>
        <w:spacing w:after="0" w:line="360" w:lineRule="auto"/>
      </w:pPr>
    </w:p>
    <w:p w:rsidR="00624795" w:rsidRDefault="00624795" w:rsidP="00822C84">
      <w:pPr>
        <w:spacing w:after="0" w:line="360" w:lineRule="auto"/>
      </w:pPr>
    </w:p>
    <w:p w:rsidR="00A809D4" w:rsidRDefault="00A809D4" w:rsidP="00822C84">
      <w:pPr>
        <w:spacing w:after="0" w:line="360" w:lineRule="auto"/>
      </w:pPr>
    </w:p>
    <w:sectPr w:rsidR="00A809D4" w:rsidSect="00701DA1">
      <w:headerReference w:type="default" r:id="rId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4B5" w:rsidRDefault="006D24B5" w:rsidP="00624795">
      <w:pPr>
        <w:spacing w:after="0" w:line="240" w:lineRule="auto"/>
      </w:pPr>
      <w:r>
        <w:separator/>
      </w:r>
    </w:p>
  </w:endnote>
  <w:endnote w:type="continuationSeparator" w:id="0">
    <w:p w:rsidR="006D24B5" w:rsidRDefault="006D24B5" w:rsidP="00624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4B5" w:rsidRDefault="006D24B5" w:rsidP="00624795">
      <w:pPr>
        <w:spacing w:after="0" w:line="240" w:lineRule="auto"/>
      </w:pPr>
      <w:r>
        <w:separator/>
      </w:r>
    </w:p>
  </w:footnote>
  <w:footnote w:type="continuationSeparator" w:id="0">
    <w:p w:rsidR="006D24B5" w:rsidRDefault="006D24B5" w:rsidP="006247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795" w:rsidRDefault="00624795" w:rsidP="00624795">
    <w:pPr>
      <w:pStyle w:val="Intestazione"/>
      <w:jc w:val="center"/>
    </w:pPr>
    <w:r>
      <w:rPr>
        <w:noProof/>
        <w:lang w:eastAsia="it-IT"/>
      </w:rPr>
      <w:drawing>
        <wp:inline distT="0" distB="0" distL="0" distR="0" wp14:anchorId="48B8A05A" wp14:editId="6DEC7243">
          <wp:extent cx="5233035" cy="1271270"/>
          <wp:effectExtent l="0" t="0" r="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3035" cy="12712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4B5"/>
    <w:rsid w:val="000C11F4"/>
    <w:rsid w:val="000C5A14"/>
    <w:rsid w:val="00202D26"/>
    <w:rsid w:val="00412C98"/>
    <w:rsid w:val="004947A1"/>
    <w:rsid w:val="005B5D7B"/>
    <w:rsid w:val="00624795"/>
    <w:rsid w:val="006D24B5"/>
    <w:rsid w:val="00701DA1"/>
    <w:rsid w:val="00822C84"/>
    <w:rsid w:val="00A232FF"/>
    <w:rsid w:val="00A809D4"/>
    <w:rsid w:val="00BB606C"/>
    <w:rsid w:val="00EA138B"/>
    <w:rsid w:val="00F06E3E"/>
    <w:rsid w:val="00F768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741D08-DE75-4B38-8DE5-333DEBFF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01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62479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4795"/>
    <w:rPr>
      <w:rFonts w:ascii="Segoe UI" w:hAnsi="Segoe UI" w:cs="Segoe UI"/>
      <w:sz w:val="18"/>
      <w:szCs w:val="18"/>
    </w:rPr>
  </w:style>
  <w:style w:type="paragraph" w:styleId="Intestazione">
    <w:name w:val="header"/>
    <w:basedOn w:val="Normale"/>
    <w:link w:val="IntestazioneCarattere"/>
    <w:uiPriority w:val="99"/>
    <w:unhideWhenUsed/>
    <w:rsid w:val="006247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24795"/>
  </w:style>
  <w:style w:type="paragraph" w:styleId="Pidipagina">
    <w:name w:val="footer"/>
    <w:basedOn w:val="Normale"/>
    <w:link w:val="PidipaginaCarattere"/>
    <w:uiPriority w:val="99"/>
    <w:unhideWhenUsed/>
    <w:rsid w:val="006247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4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11.ICSGIAVERA\AppData\Local\Microsoft\Windows\INetCache\Content.Outlook\0RZUNQKG\Intest_Dir_Mussat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Intest_Dir_Mussato</Template>
  <TotalTime>15</TotalTime>
  <Pages>2</Pages>
  <Words>768</Words>
  <Characters>4380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PC11</cp:lastModifiedBy>
  <cp:revision>4</cp:revision>
  <cp:lastPrinted>2019-03-19T11:11:00Z</cp:lastPrinted>
  <dcterms:created xsi:type="dcterms:W3CDTF">2020-11-02T09:39:00Z</dcterms:created>
  <dcterms:modified xsi:type="dcterms:W3CDTF">2020-11-02T15:15:00Z</dcterms:modified>
</cp:coreProperties>
</file>