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89" w:rsidRDefault="00CE1764">
      <w:pPr>
        <w:pStyle w:val="Titolo3user"/>
        <w:tabs>
          <w:tab w:val="left" w:pos="0"/>
        </w:tabs>
        <w:spacing w:before="0" w:after="0"/>
      </w:pPr>
      <w:r>
        <w:rPr>
          <w:sz w:val="24"/>
          <w:shd w:val="clear" w:color="auto" w:fill="FFFFFF"/>
        </w:rPr>
        <w:t xml:space="preserve">ALLEGATO D) “Dichiarazione di Assenza cause di esclusione ex art. 94 e 95 D.Lgs. 36/2023” </w:t>
      </w:r>
      <w:r>
        <w:rPr>
          <w:b w:val="0"/>
          <w:i/>
          <w:sz w:val="24"/>
          <w:shd w:val="clear" w:color="auto" w:fill="FFFFFF"/>
        </w:rPr>
        <w:t>(se il candidato è persona giuridica: società, ditta individuale, ente, etc.)-</w:t>
      </w:r>
      <w:r>
        <w:rPr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Avviso prot.3194 del 27/03/25</w:t>
      </w:r>
    </w:p>
    <w:p w:rsidR="00CE1764" w:rsidRPr="003D2AE3" w:rsidRDefault="00CE1764" w:rsidP="00CE1764">
      <w:pPr>
        <w:pStyle w:val="Corpotesto"/>
        <w:numPr>
          <w:ilvl w:val="0"/>
          <w:numId w:val="1"/>
        </w:numPr>
        <w:spacing w:after="0"/>
        <w:ind w:right="567"/>
        <w:jc w:val="both"/>
        <w:rPr>
          <w:sz w:val="22"/>
        </w:rPr>
      </w:pPr>
      <w:r w:rsidRPr="003D2AE3">
        <w:rPr>
          <w:rStyle w:val="StrongEmphasis"/>
          <w:sz w:val="22"/>
          <w:shd w:val="clear" w:color="auto" w:fill="FFFFFF"/>
        </w:rPr>
        <w:t>Oggetto: Avviso di selezione pubblica rivolta sia al personale interno dell'Istituto scolastico “</w:t>
      </w:r>
      <w:bookmarkStart w:id="0" w:name="x_682218674698813441"/>
      <w:bookmarkEnd w:id="0"/>
      <w:r w:rsidRPr="003D2AE3">
        <w:rPr>
          <w:rStyle w:val="StrongEmphasis"/>
          <w:sz w:val="22"/>
          <w:shd w:val="clear" w:color="auto" w:fill="FFFFFF"/>
        </w:rPr>
        <w:t xml:space="preserve">I.C. Coletti Treviso 5” di </w:t>
      </w:r>
      <w:bookmarkStart w:id="1" w:name="x_682218674824937473"/>
      <w:bookmarkEnd w:id="1"/>
      <w:r w:rsidRPr="003D2AE3">
        <w:rPr>
          <w:rStyle w:val="StrongEmphasis"/>
          <w:sz w:val="22"/>
          <w:shd w:val="clear" w:color="auto" w:fill="FFFFFF"/>
        </w:rPr>
        <w:t xml:space="preserve">Treviso sia a soggetti esterni allo stesso per il reclutamento di una figura professionale </w:t>
      </w:r>
      <w:r>
        <w:rPr>
          <w:rStyle w:val="StrongEmphasis"/>
          <w:sz w:val="22"/>
          <w:shd w:val="clear" w:color="auto" w:fill="FFFFFF"/>
        </w:rPr>
        <w:t xml:space="preserve">di Esperto psicologo per la realizazzione di “Percorsi di supporto e orientamento con il coinvolgimento delle famiglie  </w:t>
      </w:r>
      <w:r w:rsidRPr="003D2AE3">
        <w:rPr>
          <w:rStyle w:val="StrongEmphasis"/>
          <w:sz w:val="22"/>
          <w:shd w:val="clear" w:color="auto" w:fill="FFFFFF"/>
        </w:rPr>
        <w:t xml:space="preserve"> - prot. n. </w:t>
      </w:r>
      <w:bookmarkStart w:id="2" w:name="x_712443113221324801"/>
      <w:bookmarkEnd w:id="2"/>
      <w:r>
        <w:rPr>
          <w:rStyle w:val="StrongEmphasis"/>
          <w:sz w:val="22"/>
        </w:rPr>
        <w:t>3194</w:t>
      </w:r>
      <w:r w:rsidRPr="003D2AE3">
        <w:rPr>
          <w:rStyle w:val="StrongEmphasis"/>
          <w:sz w:val="22"/>
        </w:rPr>
        <w:t xml:space="preserve"> del 2</w:t>
      </w:r>
      <w:r>
        <w:rPr>
          <w:rStyle w:val="StrongEmphasis"/>
          <w:sz w:val="22"/>
        </w:rPr>
        <w:t>7</w:t>
      </w:r>
      <w:r w:rsidRPr="003D2AE3">
        <w:rPr>
          <w:rStyle w:val="StrongEmphasis"/>
          <w:sz w:val="22"/>
        </w:rPr>
        <w:t>/03/2025</w:t>
      </w:r>
    </w:p>
    <w:p w:rsidR="00322189" w:rsidRDefault="00322189">
      <w:bookmarkStart w:id="3" w:name="_GoBack"/>
      <w:bookmarkEnd w:id="3"/>
    </w:p>
    <w:p w:rsidR="00322189" w:rsidRDefault="00CE1764">
      <w:pPr>
        <w:pStyle w:val="Corpotesto"/>
        <w:spacing w:after="0"/>
        <w:ind w:right="567"/>
      </w:pPr>
      <w:r>
        <w:rPr>
          <w:color w:val="000000"/>
          <w:shd w:val="clear" w:color="auto" w:fill="FFFFFF"/>
        </w:rPr>
        <w:t>Il/la sottoscritto/a _________________________________________________</w:t>
      </w:r>
      <w:r>
        <w:rPr>
          <w:color w:val="000000"/>
          <w:shd w:val="clear" w:color="auto" w:fill="FFFFFF"/>
        </w:rPr>
        <w:t xml:space="preserve">___________________ nato/a a ____________________________________________________ il _______________ residente a ____________________________________________________ via ____________________________________________________ n </w:t>
      </w:r>
      <w:r>
        <w:rPr>
          <w:color w:val="000000"/>
          <w:u w:val="single"/>
          <w:shd w:val="clear" w:color="auto" w:fill="FFFFFF"/>
        </w:rPr>
        <w:t xml:space="preserve">        </w:t>
      </w:r>
      <w:r>
        <w:rPr>
          <w:color w:val="000000"/>
          <w:shd w:val="clear" w:color="auto" w:fill="FFFFFF"/>
        </w:rPr>
        <w:t xml:space="preserve">, C.F. </w:t>
      </w:r>
      <w:r>
        <w:rPr>
          <w:color w:val="000000"/>
          <w:u w:val="single"/>
          <w:shd w:val="clear" w:color="auto" w:fill="FFFFFF"/>
        </w:rPr>
        <w:t xml:space="preserve">                </w:t>
      </w:r>
      <w:r>
        <w:rPr>
          <w:color w:val="000000"/>
          <w:u w:val="single"/>
          <w:shd w:val="clear" w:color="auto" w:fill="FFFFFF"/>
        </w:rPr>
        <w:t>                                                       </w:t>
      </w:r>
      <w:r>
        <w:rPr>
          <w:color w:val="000000"/>
          <w:shd w:val="clear" w:color="auto" w:fill="FFFFFF"/>
        </w:rPr>
        <w:t>, e mail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 xml:space="preserve"> pec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 xml:space="preserve"> cell.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</w:t>
      </w:r>
    </w:p>
    <w:p w:rsidR="00322189" w:rsidRDefault="00CE1764">
      <w:pPr>
        <w:pStyle w:val="Corpotesto"/>
        <w:spacing w:after="0"/>
        <w:ind w:right="567"/>
        <w:jc w:val="both"/>
      </w:pPr>
      <w:r>
        <w:rPr>
          <w:color w:val="000000"/>
          <w:shd w:val="clear" w:color="auto" w:fill="FFFFFF"/>
        </w:rPr>
        <w:t xml:space="preserve">in qualità di </w:t>
      </w:r>
      <w:r>
        <w:rPr>
          <w:rStyle w:val="Enfasicorsivo"/>
          <w:color w:val="000000"/>
          <w:sz w:val="18"/>
          <w:shd w:val="clear" w:color="auto" w:fill="FFFFFF"/>
        </w:rPr>
        <w:t>(legale rappresentante)______________________________________</w:t>
      </w:r>
    </w:p>
    <w:p w:rsidR="00322189" w:rsidRDefault="00CE1764">
      <w:pPr>
        <w:pStyle w:val="Corpotesto"/>
        <w:spacing w:after="0"/>
        <w:ind w:right="567"/>
        <w:jc w:val="both"/>
      </w:pPr>
      <w:r>
        <w:rPr>
          <w:rStyle w:val="Enfasicorsivo"/>
          <w:i w:val="0"/>
          <w:color w:val="000000"/>
          <w:shd w:val="clear" w:color="auto" w:fill="FFFFFF"/>
        </w:rPr>
        <w:t>della ditta  _______________________   con sede a __________________________________</w:t>
      </w:r>
    </w:p>
    <w:p w:rsidR="00322189" w:rsidRDefault="00CE1764">
      <w:r>
        <w:t>C.F.:_______________________________</w:t>
      </w:r>
    </w:p>
    <w:p w:rsidR="00322189" w:rsidRDefault="00322189"/>
    <w:p w:rsidR="00322189" w:rsidRDefault="00CE1764">
      <w:pPr>
        <w:autoSpaceDE w:val="0"/>
        <w:spacing w:line="223" w:lineRule="exact"/>
      </w:pPr>
      <w:r>
        <w:rPr>
          <w:rFonts w:cs="Times New Roman"/>
          <w:color w:val="000000"/>
          <w:sz w:val="22"/>
          <w:szCs w:val="22"/>
        </w:rPr>
        <w:t>consapevole</w:t>
      </w:r>
      <w:r>
        <w:rPr>
          <w:rFonts w:cs="Times New Roman"/>
          <w:color w:val="000000"/>
          <w:spacing w:val="11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delle</w:t>
      </w:r>
      <w:r>
        <w:rPr>
          <w:rFonts w:cs="Times New Roman"/>
          <w:color w:val="000000"/>
          <w:spacing w:val="10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sanzioni</w:t>
      </w:r>
      <w:r>
        <w:rPr>
          <w:rFonts w:cs="Times New Roman"/>
          <w:color w:val="000000"/>
          <w:spacing w:val="11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penali</w:t>
      </w:r>
      <w:r>
        <w:rPr>
          <w:rFonts w:cs="Times New Roman"/>
          <w:color w:val="000000"/>
          <w:spacing w:val="12"/>
          <w:sz w:val="22"/>
          <w:szCs w:val="22"/>
        </w:rPr>
        <w:t xml:space="preserve"> </w:t>
      </w:r>
      <w:r>
        <w:rPr>
          <w:rFonts w:cs="Times New Roman"/>
          <w:color w:val="000000"/>
          <w:spacing w:val="-3"/>
          <w:sz w:val="22"/>
          <w:szCs w:val="22"/>
        </w:rPr>
        <w:t>in</w:t>
      </w:r>
      <w:r>
        <w:rPr>
          <w:rFonts w:cs="Times New Roman"/>
          <w:color w:val="000000"/>
          <w:spacing w:val="14"/>
          <w:sz w:val="22"/>
          <w:szCs w:val="22"/>
        </w:rPr>
        <w:t xml:space="preserve"> </w:t>
      </w:r>
      <w:r>
        <w:rPr>
          <w:rFonts w:cs="Times New Roman"/>
          <w:color w:val="000000"/>
          <w:spacing w:val="1"/>
          <w:sz w:val="22"/>
          <w:szCs w:val="22"/>
        </w:rPr>
        <w:t>caso</w:t>
      </w:r>
      <w:r>
        <w:rPr>
          <w:rFonts w:cs="Times New Roman"/>
          <w:color w:val="000000"/>
          <w:spacing w:val="9"/>
          <w:sz w:val="22"/>
          <w:szCs w:val="22"/>
        </w:rPr>
        <w:t xml:space="preserve"> </w:t>
      </w:r>
      <w:r>
        <w:rPr>
          <w:rFonts w:cs="Times New Roman"/>
          <w:color w:val="000000"/>
          <w:spacing w:val="-2"/>
          <w:sz w:val="22"/>
          <w:szCs w:val="22"/>
        </w:rPr>
        <w:t>di</w:t>
      </w:r>
      <w:r>
        <w:rPr>
          <w:rFonts w:cs="Times New Roman"/>
          <w:color w:val="000000"/>
          <w:spacing w:val="15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dichiarazioni</w:t>
      </w:r>
      <w:r>
        <w:rPr>
          <w:rFonts w:cs="Times New Roman"/>
          <w:color w:val="000000"/>
          <w:spacing w:val="12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false</w:t>
      </w:r>
      <w:r>
        <w:rPr>
          <w:rFonts w:cs="Times New Roman"/>
          <w:color w:val="000000"/>
          <w:spacing w:val="14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e</w:t>
      </w:r>
      <w:r>
        <w:rPr>
          <w:rFonts w:cs="Times New Roman"/>
          <w:color w:val="000000"/>
          <w:spacing w:val="10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della</w:t>
      </w:r>
      <w:r>
        <w:rPr>
          <w:rFonts w:cs="Times New Roman"/>
          <w:color w:val="000000"/>
          <w:spacing w:val="10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conseguente</w:t>
      </w:r>
      <w:r>
        <w:rPr>
          <w:rFonts w:cs="Times New Roman"/>
          <w:color w:val="000000"/>
          <w:spacing w:val="11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decadenza</w:t>
      </w:r>
      <w:r>
        <w:rPr>
          <w:rFonts w:cs="Times New Roman"/>
          <w:color w:val="000000"/>
          <w:spacing w:val="12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dai</w:t>
      </w:r>
      <w:r>
        <w:rPr>
          <w:rFonts w:cs="Times New Roman"/>
          <w:color w:val="000000"/>
          <w:spacing w:val="9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benefici eventualmente</w:t>
      </w:r>
      <w:r>
        <w:rPr>
          <w:rFonts w:cs="Times New Roman"/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conseguiti</w:t>
      </w:r>
      <w:r>
        <w:rPr>
          <w:rFonts w:cs="Times New Roman"/>
          <w:color w:val="000000"/>
          <w:spacing w:val="-7"/>
          <w:sz w:val="22"/>
          <w:szCs w:val="22"/>
        </w:rPr>
        <w:t xml:space="preserve"> </w:t>
      </w:r>
      <w:r>
        <w:rPr>
          <w:rFonts w:cs="Times New Roman"/>
          <w:color w:val="000000"/>
          <w:spacing w:val="-1"/>
          <w:sz w:val="22"/>
          <w:szCs w:val="22"/>
        </w:rPr>
        <w:t>(ai</w:t>
      </w:r>
      <w:r>
        <w:rPr>
          <w:rFonts w:cs="Times New Roman"/>
          <w:color w:val="000000"/>
          <w:spacing w:val="-5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sensi</w:t>
      </w:r>
      <w:r>
        <w:rPr>
          <w:rFonts w:cs="Times New Roman"/>
          <w:color w:val="000000"/>
          <w:spacing w:val="-7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degli</w:t>
      </w:r>
      <w:r>
        <w:rPr>
          <w:rFonts w:cs="Times New Roman"/>
          <w:color w:val="000000"/>
          <w:spacing w:val="-9"/>
          <w:sz w:val="22"/>
          <w:szCs w:val="22"/>
        </w:rPr>
        <w:t xml:space="preserve"> </w:t>
      </w:r>
      <w:r>
        <w:rPr>
          <w:rFonts w:cs="Times New Roman"/>
          <w:color w:val="000000"/>
          <w:spacing w:val="1"/>
          <w:sz w:val="22"/>
          <w:szCs w:val="22"/>
        </w:rPr>
        <w:t>artt.</w:t>
      </w:r>
      <w:r>
        <w:rPr>
          <w:rFonts w:cs="Times New Roman"/>
          <w:color w:val="000000"/>
          <w:spacing w:val="-7"/>
          <w:sz w:val="22"/>
          <w:szCs w:val="22"/>
        </w:rPr>
        <w:t xml:space="preserve"> </w:t>
      </w:r>
      <w:r>
        <w:rPr>
          <w:rFonts w:cs="Times New Roman"/>
          <w:color w:val="000000"/>
          <w:spacing w:val="-2"/>
          <w:sz w:val="22"/>
          <w:szCs w:val="22"/>
        </w:rPr>
        <w:t>75</w:t>
      </w:r>
      <w:r>
        <w:rPr>
          <w:rFonts w:cs="Times New Roman"/>
          <w:color w:val="000000"/>
          <w:spacing w:val="-3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e</w:t>
      </w:r>
      <w:r>
        <w:rPr>
          <w:rFonts w:cs="Times New Roman"/>
          <w:color w:val="000000"/>
          <w:spacing w:val="-7"/>
          <w:sz w:val="22"/>
          <w:szCs w:val="22"/>
        </w:rPr>
        <w:t xml:space="preserve"> </w:t>
      </w:r>
      <w:r>
        <w:rPr>
          <w:rFonts w:cs="Times New Roman"/>
          <w:color w:val="000000"/>
          <w:spacing w:val="2"/>
          <w:sz w:val="22"/>
          <w:szCs w:val="22"/>
        </w:rPr>
        <w:t>76</w:t>
      </w:r>
      <w:r>
        <w:rPr>
          <w:rFonts w:cs="Times New Roman"/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D.P.R.</w:t>
      </w:r>
      <w:r>
        <w:rPr>
          <w:rFonts w:cs="Times New Roman"/>
          <w:color w:val="000000"/>
          <w:spacing w:val="-5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445/2000)</w:t>
      </w:r>
      <w:r>
        <w:rPr>
          <w:rFonts w:cs="Times New Roman"/>
          <w:color w:val="000000"/>
          <w:spacing w:val="-5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sotto</w:t>
      </w:r>
      <w:r>
        <w:rPr>
          <w:rFonts w:cs="Times New Roman"/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pacing w:val="1"/>
          <w:sz w:val="22"/>
          <w:szCs w:val="22"/>
        </w:rPr>
        <w:t>la</w:t>
      </w:r>
      <w:r>
        <w:rPr>
          <w:rFonts w:cs="Times New Roman"/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propria</w:t>
      </w:r>
      <w:r>
        <w:rPr>
          <w:rFonts w:cs="Times New Roman"/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responsabilità,</w:t>
      </w:r>
      <w:r>
        <w:rPr>
          <w:rFonts w:cs="Times New Roman"/>
          <w:color w:val="000000"/>
          <w:spacing w:val="-6"/>
          <w:sz w:val="22"/>
          <w:szCs w:val="22"/>
        </w:rPr>
        <w:t xml:space="preserve"> </w:t>
      </w:r>
      <w:r>
        <w:rPr>
          <w:rFonts w:cs="Times New Roman"/>
          <w:color w:val="000000"/>
          <w:spacing w:val="2"/>
          <w:sz w:val="22"/>
          <w:szCs w:val="22"/>
        </w:rPr>
        <w:t>ai</w:t>
      </w:r>
      <w:r>
        <w:rPr>
          <w:rFonts w:cs="Times New Roman"/>
          <w:color w:val="000000"/>
          <w:spacing w:val="-8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 xml:space="preserve">sensi </w:t>
      </w:r>
      <w:r>
        <w:rPr>
          <w:rFonts w:cs="Times New Roman"/>
          <w:color w:val="000000"/>
          <w:spacing w:val="-1"/>
          <w:sz w:val="22"/>
          <w:szCs w:val="22"/>
        </w:rPr>
        <w:t>del</w:t>
      </w:r>
      <w:r>
        <w:rPr>
          <w:rFonts w:cs="Times New Roman"/>
          <w:color w:val="000000"/>
          <w:spacing w:val="3"/>
          <w:sz w:val="22"/>
          <w:szCs w:val="22"/>
        </w:rPr>
        <w:t xml:space="preserve"> </w:t>
      </w:r>
      <w:r>
        <w:rPr>
          <w:rFonts w:cs="Times New Roman"/>
          <w:color w:val="000000"/>
          <w:spacing w:val="-1"/>
          <w:sz w:val="22"/>
          <w:szCs w:val="22"/>
        </w:rPr>
        <w:t>DPR</w:t>
      </w:r>
      <w:r>
        <w:rPr>
          <w:rFonts w:cs="Times New Roman"/>
          <w:color w:val="000000"/>
          <w:spacing w:val="3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28/12/2000</w:t>
      </w:r>
      <w:r>
        <w:rPr>
          <w:rFonts w:cs="Times New Roman"/>
          <w:color w:val="000000"/>
          <w:spacing w:val="-2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n.</w:t>
      </w:r>
      <w:r>
        <w:rPr>
          <w:rFonts w:cs="Times New Roman"/>
          <w:color w:val="000000"/>
          <w:spacing w:val="2"/>
          <w:sz w:val="22"/>
          <w:szCs w:val="22"/>
        </w:rPr>
        <w:t xml:space="preserve"> </w:t>
      </w:r>
      <w:r>
        <w:rPr>
          <w:rFonts w:cs="Times New Roman"/>
          <w:color w:val="000000"/>
          <w:spacing w:val="-1"/>
          <w:sz w:val="22"/>
          <w:szCs w:val="22"/>
        </w:rPr>
        <w:t>445</w:t>
      </w:r>
      <w:r>
        <w:rPr>
          <w:rFonts w:cs="Times New Roman"/>
          <w:color w:val="000000"/>
          <w:spacing w:val="3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e</w:t>
      </w:r>
      <w:r>
        <w:rPr>
          <w:rFonts w:cs="Times New Roman"/>
          <w:color w:val="000000"/>
          <w:spacing w:val="-2"/>
          <w:sz w:val="22"/>
          <w:szCs w:val="22"/>
        </w:rPr>
        <w:t xml:space="preserve"> </w:t>
      </w:r>
      <w:r>
        <w:rPr>
          <w:rFonts w:cs="Times New Roman"/>
          <w:color w:val="000000"/>
          <w:spacing w:val="1"/>
          <w:sz w:val="22"/>
          <w:szCs w:val="22"/>
        </w:rPr>
        <w:t>s.m.i.</w:t>
      </w:r>
    </w:p>
    <w:p w:rsidR="00322189" w:rsidRDefault="00322189">
      <w:pPr>
        <w:autoSpaceDE w:val="0"/>
        <w:spacing w:line="223" w:lineRule="exact"/>
        <w:rPr>
          <w:rFonts w:cs="Times New Roman"/>
          <w:color w:val="000000"/>
          <w:spacing w:val="1"/>
          <w:sz w:val="22"/>
          <w:szCs w:val="22"/>
        </w:rPr>
      </w:pPr>
    </w:p>
    <w:p w:rsidR="00322189" w:rsidRDefault="00CE1764">
      <w:pPr>
        <w:autoSpaceDE w:val="0"/>
        <w:spacing w:line="223" w:lineRule="exact"/>
        <w:jc w:val="center"/>
        <w:rPr>
          <w:rFonts w:cs="Times New Roman"/>
          <w:b/>
          <w:color w:val="000000"/>
          <w:spacing w:val="1"/>
        </w:rPr>
      </w:pPr>
      <w:r>
        <w:rPr>
          <w:rFonts w:cs="Times New Roman"/>
          <w:b/>
          <w:color w:val="000000"/>
          <w:spacing w:val="1"/>
        </w:rPr>
        <w:t>DICHIARA</w:t>
      </w:r>
    </w:p>
    <w:p w:rsidR="00322189" w:rsidRDefault="00CE1764">
      <w:pPr>
        <w:widowControl/>
        <w:suppressAutoHyphens w:val="0"/>
        <w:autoSpaceDE w:val="0"/>
        <w:jc w:val="both"/>
        <w:textAlignment w:val="auto"/>
      </w:pP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>☐</w:t>
      </w: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 xml:space="preserve"> 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di </w:t>
      </w:r>
      <w:r>
        <w:rPr>
          <w:rFonts w:cs="Times New Roman"/>
          <w:kern w:val="0"/>
          <w:sz w:val="22"/>
          <w:szCs w:val="22"/>
          <w:lang w:val="it-IT" w:bidi="ar-SA"/>
        </w:rPr>
        <w:t>non trovarsi nelle cause di esclusione dalla partecipazione ad una procedura di Appalto o concessione elencante nell’art. 94 comma 1 del D. Lgs. 36/2023, ovvero che nei propri confronti e, nei limiti di quanto di propria conoscenza, nei confronti dei sogge</w:t>
      </w:r>
      <w:r>
        <w:rPr>
          <w:rFonts w:cs="Times New Roman"/>
          <w:kern w:val="0"/>
          <w:sz w:val="22"/>
          <w:szCs w:val="22"/>
          <w:lang w:val="it-IT" w:bidi="ar-SA"/>
        </w:rPr>
        <w:t>tti indicati al comma 3 dell’articolo 94 del D. Lgs 36/2023, non è stata pronunciata sentenza definitiva di condanna o emesso decreto penale di condanna divenuto irrevocabile,oppure sentenza di applicazione della pena su richiesta ai sensi dell'articolo 44</w:t>
      </w:r>
      <w:r>
        <w:rPr>
          <w:rFonts w:cs="Times New Roman"/>
          <w:kern w:val="0"/>
          <w:sz w:val="22"/>
          <w:szCs w:val="22"/>
          <w:lang w:val="it-IT" w:bidi="ar-SA"/>
        </w:rPr>
        <w:t>4 del codice di procedura penale per uno dei seguenti reati: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a)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delitti, consumati o tentati, di cui agli articoli 416, 416-bis del codice penale ovvero delitti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  <w:r>
        <w:rPr>
          <w:rFonts w:cs="Times New Roman"/>
          <w:kern w:val="0"/>
          <w:sz w:val="22"/>
          <w:szCs w:val="22"/>
          <w:lang w:val="it-IT" w:bidi="ar-SA"/>
        </w:rPr>
        <w:t>commessi avvalendosi delle condizioni previste dal predetto articolo 416-bis ovvero al fine di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  <w:r>
        <w:rPr>
          <w:rFonts w:cs="Times New Roman"/>
          <w:kern w:val="0"/>
          <w:sz w:val="22"/>
          <w:szCs w:val="22"/>
          <w:lang w:val="it-IT" w:bidi="ar-SA"/>
        </w:rPr>
        <w:t>agevolare l’attività delle associazioni previste dallo stesso articolo, nonché’ per i delitti, consumati o tentati, previsti dall’articolo 74 del decreto del Presidente della Repubblica 9 ottobre 1990, n.309, dall’articolo 291quater del decreto del Preside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nte della Repubblica 23 gennaio 1973, n. 43 e dall’articolo 260 del decreto legislativo 3 aprile 2006, n. 152, in quanto riconducibili alla partecipazione a un’organizzazione criminale, quale definita all’articolo 2 della decisione quadro 2008/841/GAI del </w:t>
      </w:r>
      <w:r>
        <w:rPr>
          <w:rFonts w:cs="Times New Roman"/>
          <w:kern w:val="0"/>
          <w:sz w:val="22"/>
          <w:szCs w:val="22"/>
          <w:lang w:val="it-IT" w:bidi="ar-SA"/>
        </w:rPr>
        <w:t>Consiglio;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b)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delitti, consumati o tentati, di cui agli articoli 317, 318, 319, 319-ter, 319-quater, 320, 321, 322, 322bis, 346- bis, 353, 353-bis, 354, 355 e 356 del codice penale nonché all’articolo 2635 del codice civile;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c)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false comunicazioni sociali </w:t>
      </w:r>
      <w:r>
        <w:rPr>
          <w:rFonts w:cs="Times New Roman"/>
          <w:kern w:val="0"/>
          <w:sz w:val="22"/>
          <w:szCs w:val="22"/>
          <w:lang w:val="it-IT" w:bidi="ar-SA"/>
        </w:rPr>
        <w:t>di cui agli articoli 2621 e 2622 del codice civile;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d)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frode ai sensi dell’articolo 1 della convenzione relativa alla tutela degli interessi finanziari delle Comunità europee;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e)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delitti, consumati o tentati, commessi con finalità di terrorismo, anche inte</w:t>
      </w:r>
      <w:r>
        <w:rPr>
          <w:rFonts w:cs="Times New Roman"/>
          <w:kern w:val="0"/>
          <w:sz w:val="22"/>
          <w:szCs w:val="22"/>
          <w:lang w:val="it-IT" w:bidi="ar-SA"/>
        </w:rPr>
        <w:t>rnazionale, e di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  <w:r>
        <w:rPr>
          <w:rFonts w:cs="Times New Roman"/>
          <w:kern w:val="0"/>
          <w:sz w:val="22"/>
          <w:szCs w:val="22"/>
          <w:lang w:val="it-IT" w:bidi="ar-SA"/>
        </w:rPr>
        <w:t>eversione dell’ordine costituzionale reati terroristici o reati connessi alle attività terroristiche;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f)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delitti di cui agli articoli 648-bis, 648-ter e 648-ter.1 del codice penale, riciclaggio di proventi di attività criminose o finanziamento del terrorismo, quali definiti all’articolo 1 del decreto legislativo 22 giugno 2007, n. 109 e successive modificazi</w:t>
      </w:r>
      <w:r>
        <w:rPr>
          <w:rFonts w:cs="Times New Roman"/>
          <w:kern w:val="0"/>
          <w:sz w:val="22"/>
          <w:szCs w:val="22"/>
          <w:lang w:val="it-IT" w:bidi="ar-SA"/>
        </w:rPr>
        <w:t>oni;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g)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sfruttamento del lavoro minorile e altre forme di tratta di esseri umani definite con il decreto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  <w:r>
        <w:rPr>
          <w:rFonts w:cs="Times New Roman"/>
          <w:kern w:val="0"/>
          <w:sz w:val="22"/>
          <w:szCs w:val="22"/>
          <w:lang w:val="it-IT" w:bidi="ar-SA"/>
        </w:rPr>
        <w:t>legislativo 4 marzo 2014, n. 24;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h)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ogni altro delitto da cui derivi, quale pena accessoria, l’incapacità di contrattare con la pubblica Amministrazion</w:t>
      </w:r>
      <w:r>
        <w:rPr>
          <w:rFonts w:cs="Times New Roman"/>
          <w:kern w:val="0"/>
          <w:sz w:val="22"/>
          <w:szCs w:val="22"/>
          <w:lang w:val="it-IT" w:bidi="ar-SA"/>
        </w:rPr>
        <w:t>e;</w:t>
      </w:r>
    </w:p>
    <w:p w:rsidR="00322189" w:rsidRDefault="00CE1764">
      <w:pPr>
        <w:widowControl/>
        <w:suppressAutoHyphens w:val="0"/>
        <w:autoSpaceDE w:val="0"/>
        <w:jc w:val="both"/>
        <w:textAlignment w:val="auto"/>
      </w:pP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>☐</w:t>
      </w: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 xml:space="preserve"> </w:t>
      </w:r>
      <w:r>
        <w:rPr>
          <w:rFonts w:cs="Times New Roman"/>
          <w:kern w:val="0"/>
          <w:sz w:val="22"/>
          <w:szCs w:val="22"/>
          <w:lang w:val="it-IT" w:bidi="ar-SA"/>
        </w:rPr>
        <w:t>di non trovarsi nelle cause di esclusione dalla partecipazione ad una procedura di Appalto o concessione elencante nell’art. 94 comma 2 del D. Lgs. 36/2023, ovvero:</w:t>
      </w:r>
    </w:p>
    <w:p w:rsidR="00322189" w:rsidRDefault="00322189">
      <w:pPr>
        <w:widowControl/>
        <w:suppressAutoHyphens w:val="0"/>
        <w:autoSpaceDE w:val="0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</w:p>
    <w:p w:rsidR="00322189" w:rsidRDefault="00CE1764">
      <w:pPr>
        <w:widowControl/>
        <w:suppressAutoHyphens w:val="0"/>
        <w:autoSpaceDE w:val="0"/>
        <w:textAlignment w:val="auto"/>
      </w:pPr>
      <w:r>
        <w:rPr>
          <w:rFonts w:eastAsia="CIDFont+F6" w:cs="Times New Roman"/>
          <w:kern w:val="0"/>
          <w:sz w:val="22"/>
          <w:szCs w:val="22"/>
          <w:lang w:val="it-IT" w:bidi="ar-SA"/>
        </w:rPr>
        <w:t xml:space="preserve"> </w:t>
      </w:r>
      <w:r>
        <w:rPr>
          <w:rFonts w:cs="Times New Roman"/>
          <w:kern w:val="0"/>
          <w:sz w:val="22"/>
          <w:szCs w:val="22"/>
          <w:lang w:val="it-IT" w:bidi="ar-SA"/>
        </w:rPr>
        <w:t>che nei propri confronti non sussiste alcuna causa di divieto, decadenza o sospensi</w:t>
      </w:r>
      <w:r>
        <w:rPr>
          <w:rFonts w:cs="Times New Roman"/>
          <w:kern w:val="0"/>
          <w:sz w:val="22"/>
          <w:szCs w:val="22"/>
          <w:lang w:val="it-IT" w:bidi="ar-SA"/>
        </w:rPr>
        <w:t>one di cui</w:t>
      </w:r>
    </w:p>
    <w:p w:rsidR="00322189" w:rsidRDefault="00CE1764">
      <w:pPr>
        <w:widowControl/>
        <w:suppressAutoHyphens w:val="0"/>
        <w:autoSpaceDE w:val="0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  <w:r>
        <w:rPr>
          <w:rFonts w:cs="Times New Roman"/>
          <w:kern w:val="0"/>
          <w:sz w:val="22"/>
          <w:szCs w:val="22"/>
          <w:lang w:val="it-IT" w:bidi="ar-SA"/>
        </w:rPr>
        <w:t>all’art. 67 del D. Lgs. 159/2011 di ragioni di decadenza, di sospensione o di divieto previste dall’articolo 67 del codice delle leggi antimafia e delle misure di prevenzione, di cui al decreto legislativo 6 settembre 2011, n. 159 o di un tentat</w:t>
      </w:r>
      <w:r>
        <w:rPr>
          <w:rFonts w:cs="Times New Roman"/>
          <w:kern w:val="0"/>
          <w:sz w:val="22"/>
          <w:szCs w:val="22"/>
          <w:lang w:val="it-IT" w:bidi="ar-SA"/>
        </w:rPr>
        <w:t>ivo di infiltrazione mafiosa di cui all’articolo 84, comma 4, del medesimo codice. Resta fermo quanto previsto dagli articoli 88, comma 4- bis, e 92, commi 2 e 3, del codice di cui al decreto legislativo n. 159 del 2011, con riferimento rispettivamente all</w:t>
      </w:r>
      <w:r>
        <w:rPr>
          <w:rFonts w:cs="Times New Roman"/>
          <w:kern w:val="0"/>
          <w:sz w:val="22"/>
          <w:szCs w:val="22"/>
          <w:lang w:val="it-IT" w:bidi="ar-SA"/>
        </w:rPr>
        <w:t>e comunicazioni antimafia e alle informazioni antimafia;</w:t>
      </w:r>
    </w:p>
    <w:p w:rsidR="00322189" w:rsidRDefault="00322189">
      <w:pPr>
        <w:widowControl/>
        <w:suppressAutoHyphens w:val="0"/>
        <w:autoSpaceDE w:val="0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</w:p>
    <w:p w:rsidR="00322189" w:rsidRDefault="00CE1764">
      <w:pPr>
        <w:widowControl/>
        <w:suppressAutoHyphens w:val="0"/>
        <w:autoSpaceDE w:val="0"/>
        <w:jc w:val="both"/>
        <w:textAlignment w:val="auto"/>
      </w:pP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>☐</w:t>
      </w: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 xml:space="preserve"> </w:t>
      </w:r>
      <w:r>
        <w:rPr>
          <w:rFonts w:cs="Times New Roman"/>
          <w:kern w:val="0"/>
          <w:sz w:val="22"/>
          <w:szCs w:val="22"/>
          <w:lang w:val="it-IT" w:bidi="ar-SA"/>
        </w:rPr>
        <w:t>di non trovarsi nelle cause di esclusione dalla partecipazione ad una procedura di Appalto o concessione elencante nell’art. 94 comma 5 del D. Lgs. 36/2023, ovvero: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a)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operatore economico destinat</w:t>
      </w:r>
      <w:r>
        <w:rPr>
          <w:rFonts w:cs="Times New Roman"/>
          <w:kern w:val="0"/>
          <w:sz w:val="22"/>
          <w:szCs w:val="22"/>
          <w:lang w:val="it-IT" w:bidi="ar-SA"/>
        </w:rPr>
        <w:t>ario della sanzione interdittiva di cui all'articolo 9, comma 2, lettera c), del decreto legislativo 8 giugno 2001, n. 231, o di altra sanzione che comporta il divieto di contrarre con la pubblica amministrazione, compresi i provvedimenti interdittivi di c</w:t>
      </w:r>
      <w:r>
        <w:rPr>
          <w:rFonts w:cs="Times New Roman"/>
          <w:kern w:val="0"/>
          <w:sz w:val="22"/>
          <w:szCs w:val="22"/>
          <w:lang w:val="it-IT" w:bidi="ar-SA"/>
        </w:rPr>
        <w:t>ui all'articolo 14 del decreto legislativo 9 aprile 2008, n. 81;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b)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operatore economico che non abbia presentato la certificazione di cui all'articolo 17 della legge 12 marzo 1999, n. 68, ovvero non abbia presentato dichiarazione sostitutiva della sussiste</w:t>
      </w:r>
      <w:r>
        <w:rPr>
          <w:rFonts w:cs="Times New Roman"/>
          <w:kern w:val="0"/>
          <w:sz w:val="22"/>
          <w:szCs w:val="22"/>
          <w:lang w:val="it-IT" w:bidi="ar-SA"/>
        </w:rPr>
        <w:t>nza del requisito stesso;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c)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in relazione alle procedure afferenti agli investimenti pubblici finanziati, in tutto o in parte, con le risorse previste dal regolamento (UE) n. 240/2021 del Parlamento europeo e del Consiglio, del 10 febbraio 2021 e dal regol</w:t>
      </w:r>
      <w:r>
        <w:rPr>
          <w:rFonts w:cs="Times New Roman"/>
          <w:kern w:val="0"/>
          <w:sz w:val="22"/>
          <w:szCs w:val="22"/>
          <w:lang w:val="it-IT" w:bidi="ar-SA"/>
        </w:rPr>
        <w:t>amento (UE) n. 241/2021 del Parlamento europeo e del Consiglio, del 12 febbraio 2021, gli operatori economici tenuti alla redazione del rapporto sulla situazione del personale, ai sensi dell'articolo 46 del codice delle pari opportunità tra uomo e donna, d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i cui al decreto legislativo 11 aprile 2006, n. 198, che non abbiano prodotto, al momento della presentazione della domanda di partecipazione o dell'offerta, copia dell'ultimo rapporto redatto, con attestazione della sua conformità a quello trasmesso alle </w:t>
      </w:r>
      <w:r>
        <w:rPr>
          <w:rFonts w:cs="Times New Roman"/>
          <w:kern w:val="0"/>
          <w:sz w:val="22"/>
          <w:szCs w:val="22"/>
          <w:lang w:val="it-IT" w:bidi="ar-SA"/>
        </w:rPr>
        <w:t>rappresentanze sindacali aziendali e alla consigliera e al consigliere regionale di parità ai sensi del comma 2 del citato Articolo 46, oppure, in caso di inosservanza dei termini previsti dal comma 1 del medesimo articolo 46, con attestazione della sua co</w:t>
      </w:r>
      <w:r>
        <w:rPr>
          <w:rFonts w:cs="Times New Roman"/>
          <w:kern w:val="0"/>
          <w:sz w:val="22"/>
          <w:szCs w:val="22"/>
          <w:lang w:val="it-IT" w:bidi="ar-SA"/>
        </w:rPr>
        <w:t>ntestuale trasmissione alle rappresentanze sindacali aziendali e alla consigliera e al consigliere regionale di parità;</w:t>
      </w:r>
    </w:p>
    <w:p w:rsidR="00322189" w:rsidRDefault="00CE1764">
      <w:pPr>
        <w:widowControl/>
        <w:suppressAutoHyphens w:val="0"/>
        <w:autoSpaceDE w:val="0"/>
        <w:ind w:left="706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d)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operatore economico che sia stato sottoposto a liquidazione giudiziale o si trovi in stato di</w:t>
      </w:r>
    </w:p>
    <w:p w:rsidR="00322189" w:rsidRDefault="00CE1764">
      <w:pPr>
        <w:widowControl/>
        <w:suppressAutoHyphens w:val="0"/>
        <w:autoSpaceDE w:val="0"/>
        <w:ind w:left="706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  <w:r>
        <w:rPr>
          <w:rFonts w:cs="Times New Roman"/>
          <w:kern w:val="0"/>
          <w:sz w:val="22"/>
          <w:szCs w:val="22"/>
          <w:lang w:val="it-IT" w:bidi="ar-SA"/>
        </w:rPr>
        <w:t>liquidazione coatta o di concordato pre</w:t>
      </w:r>
      <w:r>
        <w:rPr>
          <w:rFonts w:cs="Times New Roman"/>
          <w:kern w:val="0"/>
          <w:sz w:val="22"/>
          <w:szCs w:val="22"/>
          <w:lang w:val="it-IT" w:bidi="ar-SA"/>
        </w:rPr>
        <w:t>ventivo o nei cui confronti sia in corso un procedimento per l'accesso a una di tali procedure, fermo restando quanto previsto dall'articolo 95 del codice della crisi di impresa e dell'insolvenza, di cui al decreto legislativo 12 gennaio 2019, n. 14, dall'</w:t>
      </w:r>
      <w:r>
        <w:rPr>
          <w:rFonts w:cs="Times New Roman"/>
          <w:kern w:val="0"/>
          <w:sz w:val="22"/>
          <w:szCs w:val="22"/>
          <w:lang w:val="it-IT" w:bidi="ar-SA"/>
        </w:rPr>
        <w:t>articolo 186-bis, comma 5, del regio decreto 16 marzo 1942, n. 267 e dall'articolo 124 del presente codice. L'esclusione non opera se, entro la data dell'aggiudicazione, sono stati adottati i provvedimenti di cui all'articolo 186-bis, comma 5, del regio de</w:t>
      </w:r>
      <w:r>
        <w:rPr>
          <w:rFonts w:cs="Times New Roman"/>
          <w:kern w:val="0"/>
          <w:sz w:val="22"/>
          <w:szCs w:val="22"/>
          <w:lang w:val="it-IT" w:bidi="ar-SA"/>
        </w:rPr>
        <w:t>creto 16 marzo 1942, n. 267 e all'articolo 95, commi 3 e 4, del codice di cui al decreto legislativo n. 14 del 2019, a meno che non intervengano ulteriori circostanze escludenti relative alle procedure concorsuali;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e)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operatore economico iscritto nel casel</w:t>
      </w:r>
      <w:r>
        <w:rPr>
          <w:rFonts w:cs="Times New Roman"/>
          <w:kern w:val="0"/>
          <w:sz w:val="22"/>
          <w:szCs w:val="22"/>
          <w:lang w:val="it-IT" w:bidi="ar-SA"/>
        </w:rPr>
        <w:t>lario informatico tenuto dall'ANAC per aver presentato false dichiarazioni o falsa documentazione nelle procedure di gara e negli affidamenti di subappalti; la causa di esclusione perdura fino a quando opera l'iscrizione nel casellario informatico;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f)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operatore economico iscritto nel casellario informatico tenuto dall'ANAC per aver presentato false dichiarazioni o falsa documentazione ai fini del rilascio dell'attestazione di qualificazione, per il periodo durante il quale perdura l'iscrizione;</w:t>
      </w:r>
    </w:p>
    <w:p w:rsidR="00322189" w:rsidRDefault="00CE1764">
      <w:pPr>
        <w:widowControl/>
        <w:suppressAutoHyphens w:val="0"/>
        <w:autoSpaceDE w:val="0"/>
        <w:jc w:val="both"/>
        <w:textAlignment w:val="auto"/>
      </w:pP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>☐</w:t>
      </w: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 xml:space="preserve"> </w:t>
      </w:r>
      <w:r>
        <w:rPr>
          <w:rFonts w:cs="Times New Roman"/>
          <w:kern w:val="0"/>
          <w:sz w:val="22"/>
          <w:szCs w:val="22"/>
          <w:lang w:val="it-IT" w:bidi="ar-SA"/>
        </w:rPr>
        <w:t>di no</w:t>
      </w:r>
      <w:r>
        <w:rPr>
          <w:rFonts w:cs="Times New Roman"/>
          <w:kern w:val="0"/>
          <w:sz w:val="22"/>
          <w:szCs w:val="22"/>
          <w:lang w:val="it-IT" w:bidi="ar-SA"/>
        </w:rPr>
        <w:t>n trovarsi nelle cause di esclusione dalla partecipazione ad una procedura di Appalto o concessione elencante nell’art. 94 comma 6 del D. Lgs. 36/2023, ovvero:</w:t>
      </w:r>
    </w:p>
    <w:p w:rsidR="00322189" w:rsidRDefault="00322189">
      <w:pPr>
        <w:widowControl/>
        <w:suppressAutoHyphens w:val="0"/>
        <w:autoSpaceDE w:val="0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</w:p>
    <w:p w:rsidR="00322189" w:rsidRDefault="00CE1764">
      <w:pPr>
        <w:widowControl/>
        <w:suppressAutoHyphens w:val="0"/>
        <w:autoSpaceDE w:val="0"/>
        <w:jc w:val="both"/>
        <w:textAlignment w:val="auto"/>
      </w:pPr>
      <w:r>
        <w:rPr>
          <w:rFonts w:eastAsia="CIDFont+F6" w:cs="Times New Roman"/>
          <w:kern w:val="0"/>
          <w:sz w:val="22"/>
          <w:szCs w:val="22"/>
          <w:lang w:val="it-IT" w:bidi="ar-SA"/>
        </w:rPr>
        <w:t xml:space="preserve"> 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di non aver commesso violazioni gravi, definitivamente accertate, degli obblighi relativi al </w:t>
      </w:r>
      <w:r>
        <w:rPr>
          <w:rFonts w:cs="Times New Roman"/>
          <w:kern w:val="0"/>
          <w:sz w:val="22"/>
          <w:szCs w:val="22"/>
          <w:lang w:val="it-IT" w:bidi="ar-SA"/>
        </w:rPr>
        <w:t>pagamento delle imposte e tasse o dei contributi previdenziali, secondo la legislazione italiana o quella dello Stato in cui sono stabiliti (cfr.Allegato II.10 al d.lgs.36/2023);</w:t>
      </w:r>
    </w:p>
    <w:p w:rsidR="00322189" w:rsidRDefault="00322189">
      <w:pPr>
        <w:widowControl/>
        <w:suppressAutoHyphens w:val="0"/>
        <w:autoSpaceDE w:val="0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</w:p>
    <w:p w:rsidR="00322189" w:rsidRDefault="00CE1764">
      <w:pPr>
        <w:widowControl/>
        <w:suppressAutoHyphens w:val="0"/>
        <w:autoSpaceDE w:val="0"/>
        <w:jc w:val="both"/>
        <w:textAlignment w:val="auto"/>
      </w:pP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>☐</w:t>
      </w:r>
      <w:r>
        <w:rPr>
          <w:rFonts w:cs="Times New Roman"/>
          <w:kern w:val="0"/>
          <w:sz w:val="22"/>
          <w:szCs w:val="22"/>
          <w:lang w:val="it-IT" w:bidi="ar-SA"/>
        </w:rPr>
        <w:t>di non trovarsi nelle cause di esclusione dalla partecipazione ad una proce</w:t>
      </w:r>
      <w:r>
        <w:rPr>
          <w:rFonts w:cs="Times New Roman"/>
          <w:kern w:val="0"/>
          <w:sz w:val="22"/>
          <w:szCs w:val="22"/>
          <w:lang w:val="it-IT" w:bidi="ar-SA"/>
        </w:rPr>
        <w:t>dura di Appalto o concessione elencante nell’art. 95 comma 1 del D. Lgs. 36/2023, ovvero: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a)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gravi infrazioni, debitamente accertate con qualunque mezzo adeguato, alle norme in materia di salute e di sicurezza sul lavoro nonché agli obblighi in materia amb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ientale, sociale e del lavoro stabiliti dalla normativa europea e nazionale, dai contratti collettivi o dalle disposizioni internazionali </w:t>
      </w:r>
      <w:r>
        <w:rPr>
          <w:rFonts w:cs="Times New Roman"/>
          <w:kern w:val="0"/>
          <w:sz w:val="22"/>
          <w:szCs w:val="22"/>
          <w:lang w:val="it-IT" w:bidi="ar-SA"/>
        </w:rPr>
        <w:lastRenderedPageBreak/>
        <w:t>elencate nell'allegato X alla direttiva 2014/24/UE del Parlamento europeo e del Consiglio del 26 febbraio 2014;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b)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situazione di conflitto di interesse di cui all'articolo 16 non diversamente risolvibile;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c)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distorsione della concorrenza derivante dal precedente coinvolgimento degli operatori economici nella preparazione della procedura d'appalto che non possa essere </w:t>
      </w:r>
      <w:r>
        <w:rPr>
          <w:rFonts w:cs="Times New Roman"/>
          <w:kern w:val="0"/>
          <w:sz w:val="22"/>
          <w:szCs w:val="22"/>
          <w:lang w:val="it-IT" w:bidi="ar-SA"/>
        </w:rPr>
        <w:t>risolta con misure meno intrusive;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d)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rilevanti indizi tali da far ritenere che le offerte degli operatori economici siano imputabili ad un unico centro decisionale a cagione di accordi intercorsi con altri operatori economici partecipanti alla stessa gara</w:t>
      </w:r>
      <w:r>
        <w:rPr>
          <w:rFonts w:cs="Times New Roman"/>
          <w:kern w:val="0"/>
          <w:sz w:val="22"/>
          <w:szCs w:val="22"/>
          <w:lang w:val="it-IT" w:bidi="ar-SA"/>
        </w:rPr>
        <w:t>;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</w:pPr>
      <w:r>
        <w:rPr>
          <w:rFonts w:cs="Times New Roman"/>
          <w:b/>
          <w:kern w:val="0"/>
          <w:sz w:val="22"/>
          <w:szCs w:val="22"/>
          <w:lang w:val="it-IT" w:bidi="ar-SA"/>
        </w:rPr>
        <w:t>e)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abbia commesso un illecito professionale grave, tale da rendere dubbia la sua integrità o</w:t>
      </w:r>
    </w:p>
    <w:p w:rsidR="00322189" w:rsidRDefault="00CE1764">
      <w:pPr>
        <w:widowControl/>
        <w:suppressAutoHyphens w:val="0"/>
        <w:autoSpaceDE w:val="0"/>
        <w:ind w:left="706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  <w:r>
        <w:rPr>
          <w:rFonts w:cs="Times New Roman"/>
          <w:kern w:val="0"/>
          <w:sz w:val="22"/>
          <w:szCs w:val="22"/>
          <w:lang w:val="it-IT" w:bidi="ar-SA"/>
        </w:rPr>
        <w:t>affidabilità, dimostrato dalla stazione appaltante con mezzi adeguati;</w:t>
      </w:r>
    </w:p>
    <w:p w:rsidR="00322189" w:rsidRDefault="00322189">
      <w:pPr>
        <w:widowControl/>
        <w:suppressAutoHyphens w:val="0"/>
        <w:autoSpaceDE w:val="0"/>
        <w:ind w:left="706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</w:p>
    <w:p w:rsidR="00322189" w:rsidRDefault="00CE1764">
      <w:pPr>
        <w:widowControl/>
        <w:suppressAutoHyphens w:val="0"/>
        <w:autoSpaceDE w:val="0"/>
        <w:jc w:val="both"/>
        <w:textAlignment w:val="auto"/>
      </w:pP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>☐</w:t>
      </w: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 xml:space="preserve"> </w:t>
      </w:r>
      <w:r>
        <w:rPr>
          <w:rFonts w:cs="Times New Roman"/>
          <w:kern w:val="0"/>
          <w:sz w:val="22"/>
          <w:szCs w:val="22"/>
          <w:lang w:val="it-IT" w:bidi="ar-SA"/>
        </w:rPr>
        <w:t>di non trovarsi nelle cause di esclusione dalla partecipazione ad una procedura di Appa</w:t>
      </w:r>
      <w:r>
        <w:rPr>
          <w:rFonts w:cs="Times New Roman"/>
          <w:kern w:val="0"/>
          <w:sz w:val="22"/>
          <w:szCs w:val="22"/>
          <w:lang w:val="it-IT" w:bidi="ar-SA"/>
        </w:rPr>
        <w:t>lto o concessione elencante nell’art. 95 comma 2 del D. Lgs. 36/2023, ovvero:</w:t>
      </w:r>
    </w:p>
    <w:p w:rsidR="00322189" w:rsidRDefault="00322189">
      <w:pPr>
        <w:widowControl/>
        <w:suppressAutoHyphens w:val="0"/>
        <w:autoSpaceDE w:val="0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</w:p>
    <w:p w:rsidR="00322189" w:rsidRDefault="00CE1764">
      <w:pPr>
        <w:widowControl/>
        <w:suppressAutoHyphens w:val="0"/>
        <w:autoSpaceDE w:val="0"/>
        <w:jc w:val="both"/>
        <w:textAlignment w:val="auto"/>
      </w:pPr>
      <w:r>
        <w:rPr>
          <w:rFonts w:eastAsia="CIDFont+F6" w:cs="Times New Roman"/>
          <w:kern w:val="0"/>
          <w:sz w:val="22"/>
          <w:szCs w:val="22"/>
          <w:lang w:val="it-IT" w:bidi="ar-SA"/>
        </w:rPr>
        <w:t xml:space="preserve"> </w:t>
      </w:r>
      <w:r>
        <w:rPr>
          <w:rFonts w:cs="Times New Roman"/>
          <w:kern w:val="0"/>
          <w:sz w:val="22"/>
          <w:szCs w:val="22"/>
          <w:lang w:val="it-IT" w:bidi="ar-SA"/>
        </w:rPr>
        <w:t>non ha commesso gravi violazioni non definitivamente accertate agli obblighi relativi al</w:t>
      </w:r>
    </w:p>
    <w:p w:rsidR="00322189" w:rsidRDefault="00CE1764">
      <w:pPr>
        <w:widowControl/>
        <w:suppressAutoHyphens w:val="0"/>
        <w:autoSpaceDE w:val="0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  <w:r>
        <w:rPr>
          <w:rFonts w:cs="Times New Roman"/>
          <w:kern w:val="0"/>
          <w:sz w:val="22"/>
          <w:szCs w:val="22"/>
          <w:lang w:val="it-IT" w:bidi="ar-SA"/>
        </w:rPr>
        <w:t>pagamento di imposte e tasse o contributi previdenziali (costituiscono gravi violazion</w:t>
      </w:r>
      <w:r>
        <w:rPr>
          <w:rFonts w:cs="Times New Roman"/>
          <w:kern w:val="0"/>
          <w:sz w:val="22"/>
          <w:szCs w:val="22"/>
          <w:lang w:val="it-IT" w:bidi="ar-SA"/>
        </w:rPr>
        <w:t>i non</w:t>
      </w:r>
    </w:p>
    <w:p w:rsidR="00322189" w:rsidRDefault="00CE1764">
      <w:pPr>
        <w:widowControl/>
        <w:suppressAutoHyphens w:val="0"/>
        <w:autoSpaceDE w:val="0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  <w:r>
        <w:rPr>
          <w:rFonts w:cs="Times New Roman"/>
          <w:kern w:val="0"/>
          <w:sz w:val="22"/>
          <w:szCs w:val="22"/>
          <w:lang w:val="it-IT" w:bidi="ar-SA"/>
        </w:rPr>
        <w:t>definitivamente accertate in materia fiscale quelle indicate nell'Allegato II.10 al d.lgs.36/2023);</w:t>
      </w:r>
    </w:p>
    <w:p w:rsidR="00322189" w:rsidRDefault="00322189">
      <w:pPr>
        <w:widowControl/>
        <w:suppressAutoHyphens w:val="0"/>
        <w:autoSpaceDE w:val="0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</w:p>
    <w:p w:rsidR="00322189" w:rsidRDefault="00CE1764">
      <w:pPr>
        <w:widowControl/>
        <w:suppressAutoHyphens w:val="0"/>
        <w:autoSpaceDE w:val="0"/>
        <w:jc w:val="both"/>
        <w:textAlignment w:val="auto"/>
      </w:pP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>☐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di non essersi reso colpevole di illeciti professionali, tali da rendere dubbia la sua integrità o affidabilità né ricorre nelle fattispecie di cui </w:t>
      </w:r>
      <w:r>
        <w:rPr>
          <w:rFonts w:cs="Times New Roman"/>
          <w:kern w:val="0"/>
          <w:sz w:val="22"/>
          <w:szCs w:val="22"/>
          <w:lang w:val="it-IT" w:bidi="ar-SA"/>
        </w:rPr>
        <w:t>all’art. 98 del D. Lgs 36/2023;</w:t>
      </w:r>
    </w:p>
    <w:p w:rsidR="00322189" w:rsidRDefault="00CE1764">
      <w:pPr>
        <w:widowControl/>
        <w:suppressAutoHyphens w:val="0"/>
        <w:autoSpaceDE w:val="0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  <w:r>
        <w:rPr>
          <w:rFonts w:cs="Times New Roman"/>
          <w:kern w:val="0"/>
          <w:sz w:val="22"/>
          <w:szCs w:val="22"/>
          <w:lang w:val="it-IT" w:bidi="ar-SA"/>
        </w:rPr>
        <w:t>- al fine dell’applicazione dell’art. 53, comma 16-ter, del D. Lgs. n. 165/2001, introdotto dalla legge n. 190/2012 (attività successiva alla cessazione del rapporto di lavoro – pantouflage o revolving doors):</w:t>
      </w:r>
    </w:p>
    <w:p w:rsidR="00322189" w:rsidRDefault="00322189">
      <w:pPr>
        <w:widowControl/>
        <w:suppressAutoHyphens w:val="0"/>
        <w:autoSpaceDE w:val="0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</w:p>
    <w:p w:rsidR="00322189" w:rsidRDefault="00CE1764">
      <w:pPr>
        <w:widowControl/>
        <w:suppressAutoHyphens w:val="0"/>
        <w:autoSpaceDE w:val="0"/>
        <w:jc w:val="both"/>
        <w:textAlignment w:val="auto"/>
      </w:pP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>☐</w:t>
      </w:r>
      <w:r>
        <w:rPr>
          <w:rFonts w:eastAsia="CIDFont+F5" w:cs="Times New Roman"/>
          <w:kern w:val="0"/>
          <w:sz w:val="22"/>
          <w:szCs w:val="22"/>
          <w:lang w:val="it-IT" w:bidi="ar-SA"/>
        </w:rPr>
        <w:t xml:space="preserve"> </w:t>
      </w:r>
      <w:r>
        <w:rPr>
          <w:rFonts w:cs="Times New Roman"/>
          <w:kern w:val="0"/>
          <w:sz w:val="22"/>
          <w:szCs w:val="22"/>
          <w:lang w:val="it-IT" w:bidi="ar-SA"/>
        </w:rPr>
        <w:t>Di non aver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concluso contratti di lavoro subordinato o autonomo e, comunque, di non aver attribuito incarichi ad ex dipendenti, che hanno esercitato poteri autoritativi o negoziali per conto delle pubbliche amministrazioni nei confronti dell’impresa di cui sopra, nel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triennio successivo alla cessazione del rapporto;</w:t>
      </w:r>
    </w:p>
    <w:p w:rsidR="00322189" w:rsidRDefault="00322189">
      <w:pPr>
        <w:widowControl/>
        <w:suppressAutoHyphens w:val="0"/>
        <w:autoSpaceDE w:val="0"/>
        <w:jc w:val="both"/>
        <w:textAlignment w:val="auto"/>
        <w:rPr>
          <w:rFonts w:cs="Times New Roman"/>
          <w:kern w:val="0"/>
          <w:sz w:val="22"/>
          <w:szCs w:val="22"/>
          <w:lang w:val="it-IT" w:bidi="ar-SA"/>
        </w:rPr>
      </w:pPr>
    </w:p>
    <w:p w:rsidR="00322189" w:rsidRDefault="00CE1764">
      <w:pPr>
        <w:widowControl/>
        <w:suppressAutoHyphens w:val="0"/>
        <w:autoSpaceDE w:val="0"/>
        <w:jc w:val="both"/>
        <w:textAlignment w:val="auto"/>
      </w:pPr>
      <w:r>
        <w:rPr>
          <w:rFonts w:ascii="Segoe UI Symbol" w:eastAsia="CIDFont+F5" w:hAnsi="Segoe UI Symbol" w:cs="Segoe UI Symbol"/>
          <w:kern w:val="0"/>
          <w:sz w:val="22"/>
          <w:szCs w:val="22"/>
          <w:lang w:val="it-IT" w:bidi="ar-SA"/>
        </w:rPr>
        <w:t>☐</w:t>
      </w:r>
      <w:r>
        <w:rPr>
          <w:rFonts w:eastAsia="CIDFont+F5" w:cs="Times New Roman"/>
          <w:kern w:val="0"/>
          <w:sz w:val="22"/>
          <w:szCs w:val="22"/>
          <w:lang w:val="it-IT" w:bidi="ar-SA"/>
        </w:rPr>
        <w:t xml:space="preserve"> </w:t>
      </w:r>
      <w:r>
        <w:rPr>
          <w:rFonts w:cs="Times New Roman"/>
          <w:kern w:val="0"/>
          <w:sz w:val="22"/>
          <w:szCs w:val="22"/>
          <w:lang w:val="it-IT" w:bidi="ar-SA"/>
        </w:rPr>
        <w:t>Che è consapevole che, ai sensi del predetto art. 53, comma 16-ter, i contratti conclusi e gli incarichi conferiti in violazione di tali prescrizioni sono nulli e che è fatto divieto ai soggetti privati</w:t>
      </w:r>
      <w:r>
        <w:rPr>
          <w:rFonts w:cs="Times New Roman"/>
          <w:kern w:val="0"/>
          <w:sz w:val="22"/>
          <w:szCs w:val="22"/>
          <w:lang w:val="it-IT" w:bidi="ar-SA"/>
        </w:rPr>
        <w:t xml:space="preserve"> che li hanno conclusi o conferiti di contrattare con le pubbliche amministrazioni per i successivi tre anni, con l'obbligo di restituzione dei compensi eventualmente percepiti e accertati ad essi riferiti.</w:t>
      </w:r>
    </w:p>
    <w:p w:rsidR="00322189" w:rsidRDefault="00322189">
      <w:pPr>
        <w:autoSpaceDE w:val="0"/>
        <w:spacing w:line="223" w:lineRule="exact"/>
        <w:jc w:val="both"/>
        <w:rPr>
          <w:rFonts w:cs="Times New Roman"/>
          <w:kern w:val="0"/>
          <w:lang w:val="it-IT" w:bidi="ar-SA"/>
        </w:rPr>
      </w:pPr>
    </w:p>
    <w:p w:rsidR="00322189" w:rsidRDefault="00322189">
      <w:pPr>
        <w:autoSpaceDE w:val="0"/>
        <w:spacing w:line="223" w:lineRule="exact"/>
        <w:jc w:val="both"/>
        <w:rPr>
          <w:rFonts w:cs="Times New Roman"/>
          <w:kern w:val="0"/>
          <w:lang w:val="it-IT" w:bidi="ar-SA"/>
        </w:rPr>
      </w:pPr>
    </w:p>
    <w:p w:rsidR="00322189" w:rsidRDefault="00CE1764">
      <w:pPr>
        <w:autoSpaceDE w:val="0"/>
        <w:spacing w:line="223" w:lineRule="exact"/>
        <w:jc w:val="both"/>
        <w:rPr>
          <w:rFonts w:cs="Times New Roman"/>
          <w:kern w:val="0"/>
          <w:lang w:val="it-IT" w:bidi="ar-SA"/>
        </w:rPr>
      </w:pPr>
      <w:r>
        <w:rPr>
          <w:rFonts w:cs="Times New Roman"/>
          <w:kern w:val="0"/>
          <w:lang w:val="it-IT" w:bidi="ar-SA"/>
        </w:rPr>
        <w:t>Luogo________________, data_________________</w:t>
      </w:r>
    </w:p>
    <w:p w:rsidR="00322189" w:rsidRDefault="00CE1764">
      <w:pPr>
        <w:autoSpaceDE w:val="0"/>
        <w:spacing w:line="223" w:lineRule="exact"/>
        <w:jc w:val="right"/>
        <w:rPr>
          <w:rFonts w:cs="Times New Roman"/>
          <w:kern w:val="0"/>
          <w:lang w:val="it-IT" w:bidi="ar-SA"/>
        </w:rPr>
      </w:pPr>
      <w:r>
        <w:rPr>
          <w:rFonts w:cs="Times New Roman"/>
          <w:kern w:val="0"/>
          <w:lang w:val="it-IT" w:bidi="ar-SA"/>
        </w:rPr>
        <w:t>Fi</w:t>
      </w:r>
      <w:r>
        <w:rPr>
          <w:rFonts w:cs="Times New Roman"/>
          <w:kern w:val="0"/>
          <w:lang w:val="it-IT" w:bidi="ar-SA"/>
        </w:rPr>
        <w:t>rma</w:t>
      </w:r>
    </w:p>
    <w:p w:rsidR="00322189" w:rsidRDefault="00322189">
      <w:pPr>
        <w:autoSpaceDE w:val="0"/>
        <w:spacing w:line="223" w:lineRule="exact"/>
        <w:jc w:val="right"/>
        <w:rPr>
          <w:rFonts w:cs="Times New Roman"/>
          <w:kern w:val="0"/>
          <w:lang w:val="it-IT" w:bidi="ar-SA"/>
        </w:rPr>
      </w:pPr>
    </w:p>
    <w:p w:rsidR="00322189" w:rsidRDefault="00CE1764">
      <w:pPr>
        <w:autoSpaceDE w:val="0"/>
        <w:spacing w:line="223" w:lineRule="exact"/>
        <w:jc w:val="right"/>
      </w:pP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</w:r>
      <w:r>
        <w:rPr>
          <w:rFonts w:cs="Times New Roman"/>
          <w:kern w:val="0"/>
          <w:lang w:val="it-IT" w:bidi="ar-SA"/>
        </w:rPr>
        <w:softHyphen/>
        <w:t>______________________________________</w:t>
      </w:r>
    </w:p>
    <w:sectPr w:rsidR="00322189">
      <w:footerReference w:type="default" r:id="rId7"/>
      <w:pgSz w:w="11905" w:h="16837"/>
      <w:pgMar w:top="720" w:right="1134" w:bottom="1134" w:left="1134" w:header="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E1764">
      <w:r>
        <w:separator/>
      </w:r>
    </w:p>
  </w:endnote>
  <w:endnote w:type="continuationSeparator" w:id="0">
    <w:p w:rsidR="00000000" w:rsidRDefault="00CE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IDFont+F5">
    <w:panose1 w:val="00000000000000000000"/>
    <w:charset w:val="00"/>
    <w:family w:val="roman"/>
    <w:notTrueType/>
    <w:pitch w:val="default"/>
  </w:font>
  <w:font w:name="CIDFont+F6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189" w:rsidRDefault="00CE1764">
    <w:pPr>
      <w:pStyle w:val="Pidipaginauser"/>
      <w:jc w:val="right"/>
    </w:pPr>
    <w:r>
      <w:rPr>
        <w:lang w:val="it-IT"/>
      </w:rPr>
      <w:fldChar w:fldCharType="begin"/>
    </w:r>
    <w:r>
      <w:rPr>
        <w:lang w:val="it-IT"/>
      </w:rPr>
      <w:instrText xml:space="preserve"> PAGE </w:instrText>
    </w:r>
    <w:r>
      <w:rPr>
        <w:lang w:val="it-IT"/>
      </w:rPr>
      <w:fldChar w:fldCharType="separate"/>
    </w:r>
    <w:r>
      <w:rPr>
        <w:noProof/>
        <w:lang w:val="it-IT"/>
      </w:rPr>
      <w:t>2</w:t>
    </w:r>
    <w:r>
      <w:rPr>
        <w:lang w:val="it-IT"/>
      </w:rPr>
      <w:fldChar w:fldCharType="end"/>
    </w:r>
  </w:p>
  <w:p w:rsidR="00322189" w:rsidRDefault="00322189">
    <w:pPr>
      <w:pStyle w:val="Pidipaginaus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E1764">
      <w:r>
        <w:separator/>
      </w:r>
    </w:p>
  </w:footnote>
  <w:footnote w:type="continuationSeparator" w:id="0">
    <w:p w:rsidR="00000000" w:rsidRDefault="00CE1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3444C"/>
    <w:multiLevelType w:val="multilevel"/>
    <w:tmpl w:val="9DB007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user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189"/>
    <w:rsid w:val="00322189"/>
    <w:rsid w:val="00CE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F94F"/>
  <w15:docId w15:val="{B254F44A-13D4-4A6B-86C1-9E9ED9C6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qFormat/>
    <w:rPr>
      <w:rFonts w:ascii="Liberation Serif" w:eastAsia="DejaVu Sans" w:hAnsi="Liberation Serif" w:cs="Noto Sans Devanagari"/>
      <w:b/>
      <w:bCs/>
      <w:kern w:val="0"/>
      <w:sz w:val="28"/>
      <w:szCs w:val="28"/>
      <w:lang w:val="en-US" w:eastAsia="zh-CN" w:bidi="hi-IN"/>
    </w:rPr>
  </w:style>
  <w:style w:type="character" w:styleId="Enfasigrassetto">
    <w:name w:val="Strong"/>
    <w:qFormat/>
    <w:rPr>
      <w:b/>
      <w:bCs/>
    </w:rPr>
  </w:style>
  <w:style w:type="character" w:customStyle="1" w:styleId="CorpotestoCarattere">
    <w:name w:val="Corpo testo Carattere"/>
    <w:basedOn w:val="Carpredefinitoparagrafo"/>
    <w:qFormat/>
  </w:style>
  <w:style w:type="character" w:styleId="Enfasicorsivo">
    <w:name w:val="Emphasis"/>
    <w:basedOn w:val="Carpredefinitoparagrafo"/>
    <w:qFormat/>
    <w:rPr>
      <w:i/>
      <w:iCs/>
    </w:rPr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customStyle="1" w:styleId="TestofumettoCarattere">
    <w:name w:val="Testo fumetto Carattere"/>
    <w:basedOn w:val="Carpredefinitoparagrafo"/>
    <w:qFormat/>
    <w:rPr>
      <w:rFonts w:ascii="Segoe UI" w:hAnsi="Segoe UI" w:cs="Segoe UI"/>
      <w:sz w:val="18"/>
      <w:szCs w:val="18"/>
    </w:rPr>
  </w:style>
  <w:style w:type="paragraph" w:customStyle="1" w:styleId="Titolo3user">
    <w:name w:val="Titolo 3 (user)"/>
    <w:basedOn w:val="Normale"/>
    <w:next w:val="Corpotesto"/>
    <w:qFormat/>
    <w:pPr>
      <w:keepNext/>
      <w:numPr>
        <w:ilvl w:val="2"/>
        <w:numId w:val="1"/>
      </w:numPr>
      <w:spacing w:before="140" w:after="120"/>
      <w:textAlignment w:val="auto"/>
      <w:outlineLvl w:val="2"/>
    </w:pPr>
    <w:rPr>
      <w:rFonts w:ascii="Liberation Serif" w:eastAsia="DejaVu Sans" w:hAnsi="Liberation Serif" w:cs="Noto Sans Devanagari"/>
      <w:b/>
      <w:bCs/>
      <w:kern w:val="0"/>
      <w:sz w:val="28"/>
      <w:szCs w:val="28"/>
      <w:lang w:val="en-US" w:eastAsia="zh-CN" w:bidi="hi-I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qFormat/>
    <w:pPr>
      <w:spacing w:after="120"/>
    </w:pPr>
  </w:style>
  <w:style w:type="paragraph" w:customStyle="1" w:styleId="Elencouser">
    <w:name w:val="Elenco (user)"/>
    <w:basedOn w:val="Corpotesto"/>
    <w:qFormat/>
  </w:style>
  <w:style w:type="paragraph" w:customStyle="1" w:styleId="Didascaliauser">
    <w:name w:val="Didascalia (user)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user">
    <w:name w:val="Intestazione (user)"/>
    <w:basedOn w:val="Normale"/>
    <w:qFormat/>
    <w:pPr>
      <w:tabs>
        <w:tab w:val="center" w:pos="4819"/>
        <w:tab w:val="right" w:pos="9638"/>
      </w:tabs>
    </w:pPr>
  </w:style>
  <w:style w:type="paragraph" w:customStyle="1" w:styleId="Pidipaginauser">
    <w:name w:val="Piè di pagina (user)"/>
    <w:basedOn w:val="Normale"/>
    <w:qFormat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character" w:customStyle="1" w:styleId="StrongEmphasis">
    <w:name w:val="Strong Emphasis"/>
    <w:qFormat/>
    <w:rsid w:val="00CE1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1725</Words>
  <Characters>9835</Characters>
  <Application>Microsoft Office Word</Application>
  <DocSecurity>0</DocSecurity>
  <Lines>81</Lines>
  <Paragraphs>23</Paragraphs>
  <ScaleCrop>false</ScaleCrop>
  <Company/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contabilita1</dc:creator>
  <dc:description/>
  <cp:lastModifiedBy>contabilita1</cp:lastModifiedBy>
  <cp:revision>9</cp:revision>
  <cp:lastPrinted>2025-03-20T12:24:00Z</cp:lastPrinted>
  <dcterms:created xsi:type="dcterms:W3CDTF">2009-04-16T11:32:00Z</dcterms:created>
  <dcterms:modified xsi:type="dcterms:W3CDTF">2025-03-28T06:45:00Z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