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ind w:left="567" w:right="567" w:hanging="0"/>
        <w:jc w:val="center"/>
        <w:rPr>
          <w:shd w:fill="FFFFFF" w:val="clear"/>
        </w:rPr>
      </w:pPr>
      <w:bookmarkStart w:id="0" w:name="head0canvasize"/>
      <w:bookmarkEnd w:id="0"/>
      <w:r>
        <w:rPr>
          <w:shd w:fill="FFFFFF" w:val="clear"/>
        </w:rPr>
        <w:t>CHECKLIST - SCHEDE ALLEGATE DNSH</w:t>
      </w:r>
    </w:p>
    <w:p>
      <w:pPr>
        <w:pStyle w:val="Heading2"/>
        <w:bidi w:val="0"/>
        <w:jc w:val="center"/>
        <w:rPr>
          <w:shd w:fill="FFFFFF" w:val="clear"/>
        </w:rPr>
      </w:pPr>
      <w:r>
        <w:rPr>
          <w:shd w:fill="FFFFFF" w:val="clear"/>
        </w:rPr>
        <w:t>Da compilare per ogni prodotto soggetto al principio del DNSH. N.B. saranno effettuate verifiche di conformità sia prima dell'affidamento che prima del collaudo.</w:t>
      </w:r>
    </w:p>
    <w:p>
      <w:pPr>
        <w:pStyle w:val="TextBody"/>
        <w:bidi w:val="0"/>
        <w:spacing w:before="0" w:after="140"/>
        <w:jc w:val="center"/>
        <w:rPr>
          <w:shd w:fill="FFFFFF" w:val="clear"/>
        </w:rPr>
      </w:pPr>
      <w:r>
        <w:rPr>
          <w:shd w:fill="FFFFFF" w:val="clear"/>
        </w:rPr>
        <w:drawing>
          <wp:inline distT="0" distB="0" distL="0" distR="0">
            <wp:extent cx="5715000" cy="73914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fill="FFFFFF" w:val="clear"/>
        </w:rPr>
        <w:drawing>
          <wp:inline distT="0" distB="0" distL="0" distR="0">
            <wp:extent cx="5715000" cy="73914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DejaVu Sans" w:cs="Noto Sans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Noto Sans Devanagari"/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