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710393A7" w:rsidR="00024625" w:rsidRPr="00E777D4" w:rsidRDefault="00024625" w:rsidP="00024625">
      <w:pPr>
        <w:autoSpaceDE w:val="0"/>
        <w:autoSpaceDN w:val="0"/>
        <w:adjustRightInd w:val="0"/>
        <w:spacing w:after="0" w:line="240" w:lineRule="auto"/>
        <w:jc w:val="right"/>
        <w:rPr>
          <w:rFonts w:eastAsia="Times New Roman" w:cstheme="minorHAnsi"/>
          <w:bCs/>
          <w:lang w:eastAsia="it-IT"/>
        </w:rPr>
      </w:pPr>
      <w:r w:rsidRPr="00E777D4">
        <w:rPr>
          <w:rFonts w:cstheme="minorHAnsi"/>
          <w:bCs/>
        </w:rPr>
        <w:t>dell’</w:t>
      </w:r>
      <w:r w:rsidR="006E6DFB" w:rsidRPr="00E777D4">
        <w:rPr>
          <w:rFonts w:eastAsia="Times New Roman" w:cstheme="minorHAnsi"/>
          <w:bCs/>
          <w:lang w:eastAsia="it-IT"/>
        </w:rPr>
        <w:t>Istituto Comprensivo IC MAJANO E FORGARIA</w:t>
      </w:r>
      <w:r w:rsidR="00CA6AFD">
        <w:rPr>
          <w:rFonts w:eastAsia="Times New Roman" w:cstheme="minorHAnsi"/>
          <w:bCs/>
          <w:lang w:eastAsia="it-IT"/>
        </w:rPr>
        <w:t xml:space="preserve"> - BUJA</w:t>
      </w:r>
    </w:p>
    <w:p w14:paraId="0E144E33" w14:textId="122026D8" w:rsidR="00024625" w:rsidRPr="00E777D4" w:rsidRDefault="00024625" w:rsidP="00024625">
      <w:pPr>
        <w:autoSpaceDE w:val="0"/>
        <w:autoSpaceDN w:val="0"/>
        <w:adjustRightInd w:val="0"/>
        <w:spacing w:after="0" w:line="240" w:lineRule="auto"/>
        <w:jc w:val="right"/>
        <w:rPr>
          <w:rFonts w:eastAsia="Times New Roman" w:cstheme="minorHAnsi"/>
          <w:bCs/>
          <w:lang w:eastAsia="it-IT"/>
        </w:rPr>
      </w:pPr>
      <w:r w:rsidRPr="00E777D4">
        <w:rPr>
          <w:rFonts w:eastAsia="Times New Roman" w:cstheme="minorHAnsi"/>
          <w:bCs/>
          <w:lang w:eastAsia="it-IT"/>
        </w:rPr>
        <w:t xml:space="preserve">di </w:t>
      </w:r>
      <w:r w:rsidR="006E6DFB" w:rsidRPr="00E777D4">
        <w:rPr>
          <w:rFonts w:eastAsia="Times New Roman" w:cstheme="minorHAnsi"/>
          <w:bCs/>
        </w:rPr>
        <w:t xml:space="preserve">Majano (UD) </w:t>
      </w:r>
    </w:p>
    <w:p w14:paraId="76263F5C" w14:textId="77777777" w:rsidR="00024625" w:rsidRPr="00E777D4" w:rsidRDefault="00024625" w:rsidP="008E465F">
      <w:pPr>
        <w:spacing w:after="0" w:line="240" w:lineRule="auto"/>
        <w:ind w:left="993" w:hanging="993"/>
        <w:jc w:val="both"/>
        <w:rPr>
          <w:rFonts w:cs="Calibri"/>
          <w:sz w:val="24"/>
          <w:szCs w:val="24"/>
          <w:lang w:val="it-IT"/>
        </w:rPr>
      </w:pPr>
    </w:p>
    <w:p w14:paraId="54C3DBE3" w14:textId="167C088D" w:rsidR="008E465F" w:rsidRPr="00E777D4" w:rsidRDefault="008E465F" w:rsidP="008E465F">
      <w:pPr>
        <w:spacing w:after="0" w:line="240" w:lineRule="auto"/>
        <w:ind w:left="993" w:hanging="993"/>
        <w:jc w:val="both"/>
        <w:rPr>
          <w:rFonts w:cs="Calibri"/>
          <w:b/>
          <w:sz w:val="24"/>
          <w:szCs w:val="24"/>
          <w:lang w:val="it-IT"/>
        </w:rPr>
      </w:pPr>
      <w:r w:rsidRPr="00E777D4">
        <w:rPr>
          <w:rFonts w:cs="Calibri"/>
          <w:sz w:val="24"/>
          <w:szCs w:val="24"/>
          <w:lang w:val="it-IT"/>
        </w:rPr>
        <w:t>Oggetto:</w:t>
      </w:r>
      <w:r w:rsidRPr="00E777D4">
        <w:rPr>
          <w:rFonts w:cs="Calibri"/>
          <w:sz w:val="24"/>
          <w:szCs w:val="24"/>
          <w:lang w:val="it-IT"/>
        </w:rPr>
        <w:tab/>
      </w:r>
      <w:r w:rsidRPr="00E777D4">
        <w:rPr>
          <w:rFonts w:cs="Calibri"/>
          <w:b/>
          <w:sz w:val="24"/>
          <w:szCs w:val="24"/>
          <w:lang w:val="it-IT"/>
        </w:rPr>
        <w:t>Dichiarazione di inesistenza di incompatibilità relativa all</w:t>
      </w:r>
      <w:r w:rsidR="00E0223D" w:rsidRPr="00E777D4">
        <w:rPr>
          <w:rFonts w:cs="Calibri"/>
          <w:b/>
          <w:sz w:val="24"/>
          <w:szCs w:val="24"/>
          <w:lang w:val="it-IT"/>
        </w:rPr>
        <w:t>’a</w:t>
      </w:r>
      <w:r w:rsidRPr="00E777D4">
        <w:rPr>
          <w:rFonts w:cs="Calibri"/>
          <w:b/>
          <w:sz w:val="24"/>
          <w:szCs w:val="24"/>
          <w:lang w:val="it-IT"/>
        </w:rPr>
        <w:t xml:space="preserve">ttività di </w:t>
      </w:r>
      <w:r w:rsidR="006A62BD" w:rsidRPr="00E777D4">
        <w:rPr>
          <w:rFonts w:cs="Calibri"/>
          <w:b/>
          <w:sz w:val="24"/>
          <w:szCs w:val="24"/>
          <w:lang w:val="it-IT"/>
        </w:rPr>
        <w:t xml:space="preserve">Esperto </w:t>
      </w:r>
      <w:r w:rsidR="00B67852" w:rsidRPr="00E777D4">
        <w:rPr>
          <w:rFonts w:cs="Calibri"/>
          <w:b/>
          <w:sz w:val="24"/>
          <w:szCs w:val="24"/>
          <w:lang w:val="it-IT"/>
        </w:rPr>
        <w:t>Es</w:t>
      </w:r>
      <w:r w:rsidR="006A62BD" w:rsidRPr="00E777D4">
        <w:rPr>
          <w:rFonts w:cs="Calibri"/>
          <w:b/>
          <w:sz w:val="24"/>
          <w:szCs w:val="24"/>
          <w:lang w:val="it-IT"/>
        </w:rPr>
        <w:t>terno</w:t>
      </w:r>
      <w:r w:rsidRPr="00E777D4">
        <w:rPr>
          <w:rFonts w:cs="Calibri"/>
          <w:b/>
          <w:sz w:val="24"/>
          <w:szCs w:val="24"/>
          <w:lang w:val="it-IT"/>
        </w:rPr>
        <w:t xml:space="preserve"> per l’attuazione </w:t>
      </w:r>
      <w:r w:rsidR="00E856E7" w:rsidRPr="00E777D4">
        <w:rPr>
          <w:rFonts w:cs="Calibri"/>
          <w:b/>
          <w:sz w:val="24"/>
          <w:szCs w:val="24"/>
          <w:lang w:val="it-IT"/>
        </w:rPr>
        <w:t>dei percorsi formativi afferenti a</w:t>
      </w:r>
      <w:r w:rsidRPr="00E777D4">
        <w:rPr>
          <w:rFonts w:cs="Calibri"/>
          <w:b/>
          <w:sz w:val="24"/>
          <w:szCs w:val="24"/>
          <w:lang w:val="it-IT"/>
        </w:rPr>
        <w:t xml:space="preserve">l Progetto finanziato con i Fondi </w:t>
      </w:r>
      <w:r w:rsidR="00631E1C" w:rsidRPr="00E777D4">
        <w:rPr>
          <w:rFonts w:cs="Calibri"/>
          <w:b/>
          <w:sz w:val="24"/>
          <w:szCs w:val="24"/>
          <w:lang w:val="it-IT"/>
        </w:rPr>
        <w:t xml:space="preserve">PNRR nell’ambito del decreto del Ministro dell’istruzione </w:t>
      </w:r>
      <w:r w:rsidR="00C804B0" w:rsidRPr="00E777D4">
        <w:rPr>
          <w:rFonts w:cs="Calibri"/>
          <w:b/>
          <w:sz w:val="24"/>
          <w:szCs w:val="24"/>
          <w:lang w:val="it-IT"/>
        </w:rPr>
        <w:t>12 aprile 2023, n. 65</w:t>
      </w:r>
      <w:r w:rsidR="00631E1C" w:rsidRPr="00E777D4">
        <w:rPr>
          <w:rFonts w:cs="Calibri"/>
          <w:b/>
          <w:sz w:val="24"/>
          <w:szCs w:val="24"/>
          <w:lang w:val="it-IT"/>
        </w:rPr>
        <w:t>, Missione 4 – Istruzione e Ricerca – Componente 1 – Potenziamento dell’offerta dei servizi di istruzione: dagli asili nido alle Università – Investimento 3.1 “Nuove competenze e nuovi linguaggi”</w:t>
      </w:r>
      <w:r w:rsidR="00FC4160" w:rsidRPr="00E777D4">
        <w:rPr>
          <w:rFonts w:cs="Calibri"/>
          <w:b/>
          <w:sz w:val="24"/>
          <w:szCs w:val="24"/>
          <w:lang w:val="it-IT"/>
        </w:rPr>
        <w:t>- INTERVENTO B</w:t>
      </w:r>
      <w:r w:rsidR="00187AB6" w:rsidRPr="00E777D4">
        <w:rPr>
          <w:rFonts w:cs="Calibri"/>
          <w:b/>
          <w:sz w:val="24"/>
          <w:szCs w:val="24"/>
          <w:lang w:val="it-IT"/>
        </w:rPr>
        <w:t xml:space="preserve"> </w:t>
      </w:r>
    </w:p>
    <w:p w14:paraId="05007191" w14:textId="77777777" w:rsidR="00CA6AFD" w:rsidRPr="00D2532D" w:rsidRDefault="00CA6AFD" w:rsidP="00CA6AFD">
      <w:pPr>
        <w:spacing w:after="0"/>
        <w:ind w:left="2880" w:hanging="1887"/>
        <w:jc w:val="both"/>
        <w:rPr>
          <w:rFonts w:ascii="Calibri" w:eastAsia="Calibri" w:hAnsi="Calibri" w:cs="Calibri"/>
          <w:b/>
          <w:bCs/>
          <w:sz w:val="24"/>
          <w:szCs w:val="24"/>
        </w:rPr>
      </w:pPr>
      <w:r w:rsidRPr="00D2532D">
        <w:rPr>
          <w:rFonts w:ascii="Calibri" w:eastAsia="Calibri" w:hAnsi="Calibri" w:cs="Calibri"/>
          <w:b/>
          <w:bCs/>
          <w:sz w:val="24"/>
          <w:szCs w:val="24"/>
        </w:rPr>
        <w:t>Titolo del Progetto: “EDUCAZIONE AL FUTURO - Education for the future”</w:t>
      </w:r>
    </w:p>
    <w:p w14:paraId="7D117AEC" w14:textId="77777777" w:rsidR="00CA6AFD" w:rsidRPr="00D2532D" w:rsidRDefault="00CA6AFD" w:rsidP="00CA6AFD">
      <w:pPr>
        <w:spacing w:after="0"/>
        <w:ind w:left="2880" w:hanging="1887"/>
        <w:jc w:val="both"/>
        <w:rPr>
          <w:rFonts w:ascii="Calibri" w:eastAsia="Calibri" w:hAnsi="Calibri" w:cs="Calibri"/>
          <w:b/>
          <w:bCs/>
          <w:sz w:val="24"/>
          <w:szCs w:val="24"/>
        </w:rPr>
      </w:pPr>
      <w:r w:rsidRPr="00D2532D">
        <w:rPr>
          <w:rFonts w:ascii="Calibri" w:eastAsia="Calibri" w:hAnsi="Calibri" w:cs="Calibri"/>
          <w:b/>
          <w:bCs/>
          <w:sz w:val="24"/>
          <w:szCs w:val="24"/>
        </w:rPr>
        <w:t>Identificativo Progetto: M4C1I3.1-2023-1143-P-40161</w:t>
      </w:r>
    </w:p>
    <w:p w14:paraId="096B3AF7" w14:textId="22A5B93B" w:rsidR="00F54B22" w:rsidRDefault="00CA6AFD" w:rsidP="00CA6AFD">
      <w:pPr>
        <w:spacing w:after="0" w:line="240" w:lineRule="auto"/>
        <w:ind w:left="1985" w:hanging="993"/>
        <w:jc w:val="both"/>
        <w:rPr>
          <w:rFonts w:cs="Calibri"/>
          <w:b/>
          <w:color w:val="FF0000"/>
          <w:sz w:val="24"/>
          <w:szCs w:val="24"/>
        </w:rPr>
      </w:pPr>
      <w:r w:rsidRPr="00D2532D">
        <w:rPr>
          <w:rFonts w:ascii="Calibri" w:eastAsia="Calibri" w:hAnsi="Calibri" w:cs="Calibri"/>
          <w:b/>
          <w:bCs/>
          <w:sz w:val="24"/>
          <w:szCs w:val="24"/>
        </w:rPr>
        <w:t>CUP: H74D23002910006</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39DA7F4" w:rsidR="002C2116" w:rsidRPr="008E465F" w:rsidRDefault="00CB6E24" w:rsidP="002C2116">
      <w:pPr>
        <w:spacing w:before="120" w:after="120"/>
        <w:ind w:right="-1"/>
        <w:jc w:val="both"/>
        <w:rPr>
          <w:rFonts w:cstheme="minorHAnsi"/>
          <w:sz w:val="24"/>
          <w:szCs w:val="24"/>
          <w:lang w:val="it-IT" w:bidi="it-IT"/>
        </w:rPr>
      </w:pPr>
      <w:r w:rsidRPr="00CA6AFD">
        <w:rPr>
          <w:rFonts w:cstheme="minorHAnsi"/>
          <w:sz w:val="24"/>
          <w:szCs w:val="24"/>
          <w:lang w:val="it-IT"/>
        </w:rPr>
        <w:t>Il/La sottoscritto/a ${</w:t>
      </w:r>
      <w:r w:rsidR="00365BDB" w:rsidRPr="00CA6AFD">
        <w:rPr>
          <w:rFonts w:cstheme="minorHAnsi"/>
          <w:sz w:val="24"/>
          <w:szCs w:val="24"/>
          <w:lang w:val="it-IT"/>
        </w:rPr>
        <w:t>nome</w:t>
      </w:r>
      <w:r w:rsidRPr="00CA6AFD">
        <w:rPr>
          <w:rFonts w:cstheme="minorHAnsi"/>
          <w:sz w:val="24"/>
          <w:szCs w:val="24"/>
          <w:lang w:val="it-IT"/>
        </w:rPr>
        <w:t>_</w:t>
      </w:r>
      <w:r w:rsidR="00365BDB" w:rsidRPr="00CA6AFD">
        <w:rPr>
          <w:rFonts w:cstheme="minorHAnsi"/>
          <w:sz w:val="24"/>
          <w:szCs w:val="24"/>
          <w:lang w:val="it-IT"/>
        </w:rPr>
        <w:t>esperto</w:t>
      </w:r>
      <w:r w:rsidRPr="00CA6AFD">
        <w:rPr>
          <w:rFonts w:cstheme="minorHAnsi"/>
          <w:sz w:val="24"/>
          <w:szCs w:val="24"/>
          <w:lang w:val="it-IT"/>
        </w:rPr>
        <w:t xml:space="preserve">} nato/a </w:t>
      </w:r>
      <w:r w:rsidR="002C2116" w:rsidRPr="00CA6AFD">
        <w:rPr>
          <w:rFonts w:cstheme="minorHAnsi"/>
          <w:sz w:val="24"/>
          <w:szCs w:val="24"/>
          <w:lang w:val="it-IT"/>
        </w:rPr>
        <w:t>a</w:t>
      </w:r>
      <w:r w:rsidR="008E465F" w:rsidRPr="00CA6AFD">
        <w:rPr>
          <w:rFonts w:cstheme="minorHAnsi"/>
          <w:sz w:val="24"/>
          <w:szCs w:val="24"/>
          <w:lang w:val="it-IT"/>
        </w:rPr>
        <w:t xml:space="preserve"> _______________</w:t>
      </w:r>
      <w:r w:rsidR="002C2116" w:rsidRPr="00CA6AFD">
        <w:rPr>
          <w:rFonts w:cstheme="minorHAnsi"/>
          <w:sz w:val="24"/>
          <w:szCs w:val="24"/>
          <w:lang w:val="it-IT"/>
        </w:rPr>
        <w:t>, in data</w:t>
      </w:r>
      <w:r w:rsidR="008E465F" w:rsidRPr="00CA6AFD">
        <w:rPr>
          <w:rFonts w:cstheme="minorHAnsi"/>
          <w:sz w:val="24"/>
          <w:szCs w:val="24"/>
          <w:lang w:val="it-IT"/>
        </w:rPr>
        <w:t xml:space="preserve"> XX/XX/XXXX</w:t>
      </w:r>
      <w:r w:rsidR="002C2116" w:rsidRPr="00CA6AFD">
        <w:rPr>
          <w:rFonts w:cstheme="minorHAnsi"/>
          <w:sz w:val="24"/>
          <w:szCs w:val="24"/>
          <w:lang w:val="it-IT"/>
        </w:rPr>
        <w:t xml:space="preserve">, C.F. </w:t>
      </w:r>
      <w:r w:rsidR="008E465F" w:rsidRPr="00CA6AFD">
        <w:rPr>
          <w:rFonts w:cstheme="minorHAnsi"/>
          <w:sz w:val="24"/>
          <w:szCs w:val="24"/>
          <w:lang w:val="it-IT"/>
        </w:rPr>
        <w:t>XXXXXXXXXXXXXXXXX</w:t>
      </w:r>
      <w:r w:rsidR="002C2116" w:rsidRPr="00CA6AFD">
        <w:rPr>
          <w:rFonts w:cstheme="minorHAnsi"/>
          <w:sz w:val="24"/>
          <w:szCs w:val="24"/>
          <w:lang w:val="it-IT"/>
        </w:rPr>
        <w:t xml:space="preserve">, </w:t>
      </w:r>
      <w:r w:rsidR="00B67852" w:rsidRPr="00CA6AFD">
        <w:rPr>
          <w:rFonts w:eastAsia="Calibri" w:cstheme="minorHAnsi"/>
          <w:sz w:val="24"/>
          <w:szCs w:val="24"/>
          <w:lang w:val="it-IT"/>
        </w:rPr>
        <w:t>personale Esterno dell’Istituzione Scolastica</w:t>
      </w:r>
      <w:r w:rsidR="008E465F" w:rsidRPr="00CA6AFD">
        <w:rPr>
          <w:rFonts w:eastAsia="Calibri" w:cstheme="minorHAnsi"/>
          <w:sz w:val="24"/>
          <w:szCs w:val="24"/>
          <w:lang w:val="it-IT"/>
        </w:rPr>
        <w:t>,</w:t>
      </w:r>
      <w:r w:rsidR="002C2116" w:rsidRPr="00CA6AFD">
        <w:rPr>
          <w:rFonts w:eastAsia="Calibri" w:cstheme="minorHAnsi"/>
          <w:sz w:val="24"/>
          <w:szCs w:val="24"/>
          <w:lang w:val="it-IT"/>
        </w:rPr>
        <w:t xml:space="preserve"> </w:t>
      </w:r>
      <w:r w:rsidR="00081A4A" w:rsidRPr="00CA6AFD">
        <w:rPr>
          <w:rFonts w:eastAsia="Calibri" w:cstheme="minorHAnsi"/>
          <w:sz w:val="24"/>
          <w:szCs w:val="24"/>
          <w:lang w:val="it-IT"/>
        </w:rPr>
        <w:t xml:space="preserve">in </w:t>
      </w:r>
      <w:r w:rsidR="002C2116" w:rsidRPr="00CA6AFD">
        <w:rPr>
          <w:rFonts w:eastAsia="Calibri" w:cstheme="minorHAnsi"/>
          <w:sz w:val="24"/>
          <w:szCs w:val="24"/>
          <w:lang w:val="it-IT"/>
        </w:rPr>
        <w:t xml:space="preserve">relazione all’incarico di </w:t>
      </w:r>
      <w:r w:rsidR="006A62BD" w:rsidRPr="00CA6AFD">
        <w:rPr>
          <w:rFonts w:eastAsia="Calibri" w:cstheme="minorHAnsi"/>
          <w:sz w:val="24"/>
          <w:szCs w:val="24"/>
          <w:lang w:val="it-IT"/>
        </w:rPr>
        <w:t>Esperto</w:t>
      </w:r>
      <w:r w:rsidR="00072F6A" w:rsidRPr="00CA6AFD">
        <w:rPr>
          <w:rFonts w:eastAsia="Calibri" w:cstheme="minorHAnsi"/>
          <w:sz w:val="24"/>
          <w:szCs w:val="24"/>
          <w:lang w:val="it-IT"/>
        </w:rPr>
        <w:t xml:space="preserve"> </w:t>
      </w:r>
      <w:r w:rsidR="002C2116" w:rsidRPr="00CA6AFD">
        <w:rPr>
          <w:rFonts w:eastAsia="Calibri" w:cstheme="minorHAnsi"/>
          <w:sz w:val="24"/>
          <w:szCs w:val="24"/>
          <w:lang w:val="it-IT"/>
        </w:rPr>
        <w:t>nell’ambito dell</w:t>
      </w:r>
      <w:r w:rsidR="006A62BD" w:rsidRPr="00CA6AFD">
        <w:rPr>
          <w:rFonts w:eastAsia="Calibri" w:cstheme="minorHAnsi"/>
          <w:sz w:val="24"/>
          <w:szCs w:val="24"/>
          <w:lang w:val="it-IT"/>
        </w:rPr>
        <w:t>’attuazione del progetto in oggetto</w:t>
      </w:r>
      <w:r w:rsidR="006A62BD">
        <w:rPr>
          <w:rFonts w:eastAsia="Calibri" w:cstheme="minorHAnsi"/>
          <w:sz w:val="24"/>
          <w:szCs w:val="24"/>
          <w:lang w:val="it-IT"/>
        </w:rPr>
        <w:t xml:space="preserve">.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bookmarkStart w:id="2" w:name="_GoBack"/>
      <w:bookmarkEnd w:id="2"/>
      <w:r w:rsidRPr="00BD7D42">
        <w:rPr>
          <w:rFonts w:cstheme="minorHAnsi"/>
        </w:rPr>
        <w:lastRenderedPageBreak/>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65BDB">
        <w:rPr>
          <w:rFonts w:cstheme="minorHAnsi"/>
        </w:rPr>
        <w:t>Esperto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AE323F">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D9750" w14:textId="77777777" w:rsidR="00AE323F" w:rsidRDefault="00AE323F" w:rsidP="008C2AE9">
      <w:pPr>
        <w:spacing w:after="0" w:line="240" w:lineRule="auto"/>
      </w:pPr>
      <w:r>
        <w:separator/>
      </w:r>
    </w:p>
  </w:endnote>
  <w:endnote w:type="continuationSeparator" w:id="0">
    <w:p w14:paraId="651F9B8E" w14:textId="77777777" w:rsidR="00AE323F" w:rsidRDefault="00AE323F"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5A438" w14:textId="77777777" w:rsidR="006E6DFB" w:rsidRDefault="006E6DF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CA6AFD" w:rsidRPr="00CA6AFD">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34311" w14:textId="77777777" w:rsidR="006E6DFB" w:rsidRDefault="006E6DF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ED03E" w14:textId="77777777" w:rsidR="00AE323F" w:rsidRDefault="00AE323F" w:rsidP="008C2AE9">
      <w:pPr>
        <w:spacing w:after="0" w:line="240" w:lineRule="auto"/>
      </w:pPr>
      <w:r>
        <w:separator/>
      </w:r>
    </w:p>
  </w:footnote>
  <w:footnote w:type="continuationSeparator" w:id="0">
    <w:p w14:paraId="5A2230D6" w14:textId="77777777" w:rsidR="00AE323F" w:rsidRDefault="00AE323F"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C7820" w14:textId="77777777" w:rsidR="006E6DFB" w:rsidRDefault="006E6DF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922CB" w14:textId="77777777" w:rsidR="006E6DFB" w:rsidRDefault="006E6D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E6DFB"/>
    <w:rsid w:val="006F08CE"/>
    <w:rsid w:val="00701F4F"/>
    <w:rsid w:val="00747C34"/>
    <w:rsid w:val="0076566C"/>
    <w:rsid w:val="00787C13"/>
    <w:rsid w:val="00795149"/>
    <w:rsid w:val="00795785"/>
    <w:rsid w:val="007A3011"/>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AE323F"/>
    <w:rsid w:val="00B00F1B"/>
    <w:rsid w:val="00B14AE0"/>
    <w:rsid w:val="00B350ED"/>
    <w:rsid w:val="00B37C78"/>
    <w:rsid w:val="00B40E08"/>
    <w:rsid w:val="00B420D1"/>
    <w:rsid w:val="00B47E26"/>
    <w:rsid w:val="00B50758"/>
    <w:rsid w:val="00B56DAB"/>
    <w:rsid w:val="00B66117"/>
    <w:rsid w:val="00B67852"/>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A6AFD"/>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777D4"/>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160"/>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2024-10-01T09:51:00Z</dcterms:created>
  <dcterms:modified xsi:type="dcterms:W3CDTF">2024-10-01T09:51:00Z</dcterms:modified>
</cp:coreProperties>
</file>