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dz1ya2ml4hon" w:id="0"/>
    <w:bookmarkEnd w:id="0"/>
    <w:bookmarkStart w:colFirst="0" w:colLast="0" w:name="kix.7xgchlld4kx6" w:id="1"/>
    <w:bookmarkEnd w:id="1"/>
    <w:bookmarkStart w:colFirst="0" w:colLast="0" w:name="kix.vz5p60f9rkem"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z7nq39j4yimj"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 </w:t>
      </w:r>
      <w:bookmarkStart w:colFirst="0" w:colLast="0" w:name="kix.ajpm0gtj0mk7" w:id="4"/>
      <w:bookmarkEnd w:id="4"/>
      <w:r w:rsidDel="00000000" w:rsidR="00000000" w:rsidRPr="00000000">
        <w:rPr>
          <w:rFonts w:ascii="Liberation Serif" w:cs="Liberation Serif" w:eastAsia="Liberation Serif" w:hAnsi="Liberation Serif"/>
          <w:b w:val="1"/>
          <w:sz w:val="24"/>
          <w:szCs w:val="24"/>
          <w:highlight w:val="white"/>
          <w:rtl w:val="0"/>
        </w:rPr>
        <w:t xml:space="preserve">100 </w:t>
      </w:r>
      <w:bookmarkStart w:colFirst="0" w:colLast="0" w:name="kix.kmt9c49ndq8z" w:id="5"/>
      <w:bookmarkEnd w:id="5"/>
      <w:r w:rsidDel="00000000" w:rsidR="00000000" w:rsidRPr="00000000">
        <w:rPr>
          <w:rFonts w:ascii="Liberation Serif" w:cs="Liberation Serif" w:eastAsia="Liberation Serif" w:hAnsi="Liberation Serif"/>
          <w:b w:val="1"/>
          <w:sz w:val="24"/>
          <w:szCs w:val="24"/>
          <w:highlight w:val="white"/>
          <w:rtl w:val="0"/>
        </w:rPr>
        <w:t xml:space="preserve">Percorsi di Mentoring e Orientamento,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9ql6ovatklt7" w:id="6"/>
    <w:bookmarkEnd w:id="6"/>
    <w:bookmarkStart w:colFirst="0" w:colLast="0" w:name="kix.5s3bfthuxnsx"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wne7d6f6m34"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thxrxwlmd9ws"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7i8xkhhvnzez"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40i3hefnzah8"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p7lg7l6viyfo" w:id="12"/>
    <w:bookmarkEnd w:id="12"/>
    <w:bookmarkStart w:colFirst="0" w:colLast="0" w:name="kix.bw7y3dq4hk3k"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o3tc5owukamz"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18vn41oupchd" w:id="15"/>
    <w:bookmarkEnd w:id="15"/>
    <w:bookmarkStart w:colFirst="0" w:colLast="0" w:name="kix.ds4ci8hud1mg"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