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h6kixvl8kqy9" w:id="0"/>
    <w:bookmarkEnd w:id="0"/>
    <w:bookmarkStart w:colFirst="0" w:colLast="0" w:name="kix.hgyhypmkt2xb" w:id="1"/>
    <w:bookmarkEnd w:id="1"/>
    <w:bookmarkStart w:colFirst="0" w:colLast="0" w:name="kix.nmwkdhvbmc6s"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assenza conflitto di interessi”</w:t>
      </w:r>
    </w:p>
    <w:bookmarkStart w:colFirst="0" w:colLast="0" w:name="kix.m9vkzpadtyde" w:id="3"/>
    <w:bookmarkEnd w:id="3"/>
    <w:bookmarkStart w:colFirst="0" w:colLast="0" w:name="kix.u05svpkwhzqt" w:id="4"/>
    <w:bookmarkEnd w:id="4"/>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personale interno all'Istituto Scolastico "</w:t>
      </w:r>
      <w:bookmarkStart w:colFirst="0" w:colLast="0" w:name="kix.acq8g3cvjovl" w:id="5"/>
      <w:bookmarkEnd w:id="5"/>
      <w:r w:rsidDel="00000000" w:rsidR="00000000" w:rsidRPr="00000000">
        <w:rPr>
          <w:rFonts w:ascii="Liberation Serif" w:cs="Liberation Serif" w:eastAsia="Liberation Serif" w:hAnsi="Liberation Serif"/>
          <w:b w:val="1"/>
          <w:sz w:val="24"/>
          <w:szCs w:val="24"/>
          <w:highlight w:val="white"/>
          <w:rtl w:val="0"/>
        </w:rPr>
        <w:t xml:space="preserve">Istituto Comprensivo IV" per il reclutamento di n.</w:t>
      </w:r>
      <w:bookmarkStart w:colFirst="0" w:colLast="0" w:name="kix.ai1a1mlj9325" w:id="6"/>
      <w:bookmarkEnd w:id="6"/>
      <w:r w:rsidDel="00000000" w:rsidR="00000000" w:rsidRPr="00000000">
        <w:rPr>
          <w:rFonts w:ascii="Liberation Serif" w:cs="Liberation Serif" w:eastAsia="Liberation Serif" w:hAnsi="Liberation Serif"/>
          <w:b w:val="1"/>
          <w:sz w:val="24"/>
          <w:szCs w:val="24"/>
          <w:highlight w:val="white"/>
          <w:rtl w:val="0"/>
        </w:rPr>
        <w:t xml:space="preserve"> 1</w:t>
      </w:r>
      <w:bookmarkStart w:colFirst="0" w:colLast="0" w:name="kix.vx1o4x9vgf0o" w:id="7"/>
      <w:bookmarkEnd w:id="7"/>
      <w:r w:rsidDel="00000000" w:rsidR="00000000" w:rsidRPr="00000000">
        <w:rPr>
          <w:rFonts w:ascii="Liberation Serif" w:cs="Liberation Serif" w:eastAsia="Liberation Serif" w:hAnsi="Liberation Serif"/>
          <w:b w:val="1"/>
          <w:sz w:val="24"/>
          <w:szCs w:val="24"/>
          <w:highlight w:val="white"/>
          <w:rtl w:val="0"/>
        </w:rPr>
        <w:t xml:space="preserve"> Docente da impiegare per lo svolgimento di attività operative strumentali finalizzate alla realizzazione delle Azioni di cui all’Avviso pubblico:</w:t>
      </w:r>
      <w:r w:rsidDel="00000000" w:rsidR="00000000" w:rsidRPr="00000000">
        <w:rPr>
          <w:rtl w:val="0"/>
        </w:rPr>
      </w:r>
    </w:p>
    <w:p w:rsidR="00000000" w:rsidDel="00000000" w:rsidP="00000000" w:rsidRDefault="00000000" w:rsidRPr="00000000" w14:paraId="00000003">
      <w:pPr>
        <w:widowControl w:val="0"/>
        <w:spacing w:line="276" w:lineRule="auto"/>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t xml:space="preserve">CODICE PROGETTO: </w:t>
      </w:r>
      <w:bookmarkStart w:colFirst="0" w:colLast="0" w:name="kix.slg36w5hbju" w:id="8"/>
      <w:bookmarkEnd w:id="8"/>
      <w:r w:rsidDel="00000000" w:rsidR="00000000" w:rsidRPr="00000000">
        <w:rPr>
          <w:rFonts w:ascii="Liberation Serif" w:cs="Liberation Serif" w:eastAsia="Liberation Serif" w:hAnsi="Liberation Serif"/>
          <w:b w:val="1"/>
          <w:sz w:val="24"/>
          <w:szCs w:val="24"/>
          <w:highlight w:val="white"/>
          <w:rtl w:val="0"/>
        </w:rPr>
        <w:t xml:space="preserve">M4C1I3.1-2023-1143-P-30129</w:t>
      </w: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TITOLO PROGETTO: </w:t>
      </w:r>
      <w:bookmarkStart w:colFirst="0" w:colLast="0" w:name="kix.8bn837f0d1lw" w:id="9"/>
      <w:bookmarkEnd w:id="9"/>
      <w:r w:rsidDel="00000000" w:rsidR="00000000" w:rsidRPr="00000000">
        <w:rPr>
          <w:rFonts w:ascii="Liberation Serif" w:cs="Liberation Serif" w:eastAsia="Liberation Serif" w:hAnsi="Liberation Serif"/>
          <w:b w:val="1"/>
          <w:sz w:val="24"/>
          <w:szCs w:val="24"/>
          <w:highlight w:val="white"/>
          <w:rtl w:val="0"/>
        </w:rPr>
        <w:t xml:space="preserve">STEM and English in Progress</w:t>
      </w: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b w:val="1"/>
          <w:sz w:val="24"/>
          <w:szCs w:val="24"/>
          <w:highlight w:val="white"/>
          <w:rtl w:val="0"/>
        </w:rPr>
        <w:t xml:space="preserve">CUP: </w:t>
      </w:r>
      <w:bookmarkStart w:colFirst="0" w:colLast="0" w:name="kix.45vkzydn6o82" w:id="10"/>
      <w:bookmarkEnd w:id="10"/>
      <w:r w:rsidDel="00000000" w:rsidR="00000000" w:rsidRPr="00000000">
        <w:rPr>
          <w:rFonts w:ascii="Liberation Serif" w:cs="Liberation Serif" w:eastAsia="Liberation Serif" w:hAnsi="Liberation Serif"/>
          <w:b w:val="1"/>
          <w:sz w:val="24"/>
          <w:szCs w:val="24"/>
          <w:highlight w:val="white"/>
          <w:rtl w:val="0"/>
        </w:rPr>
        <w:t xml:space="preserve">F24D23001180006</w:t>
      </w:r>
      <w:r w:rsidDel="00000000" w:rsidR="00000000" w:rsidRPr="00000000">
        <w:rPr>
          <w:rtl w:val="0"/>
        </w:rPr>
      </w:r>
    </w:p>
    <w:bookmarkStart w:colFirst="0" w:colLast="0" w:name="kix.yjk4arw8mvcw" w:id="11"/>
    <w:bookmarkEnd w:id="11"/>
    <w:bookmarkStart w:colFirst="0" w:colLast="0" w:name="kix.pttre56qp7ww" w:id="12"/>
    <w:bookmarkEnd w:id="12"/>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b8ko7w4j8sqb" w:id="13"/>
      <w:bookmarkEnd w:id="13"/>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5">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6">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situazione di incompatibilità e/o inconferibilità dell’incarico in oggetto, ai sensi di quanto previsto dal D.Lgs. n. 39/2013 e dall’art. 53, del D.Lgs.  n. 165/2001;</w:t>
      </w:r>
    </w:p>
    <w:p w:rsidR="00000000" w:rsidDel="00000000" w:rsidP="00000000" w:rsidRDefault="00000000" w:rsidRPr="00000000" w14:paraId="00000009">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 in oggetto;</w:t>
      </w:r>
    </w:p>
    <w:p w:rsidR="00000000" w:rsidDel="00000000" w:rsidP="00000000" w:rsidRDefault="00000000" w:rsidRPr="00000000" w14:paraId="0000000B">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13">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14">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Luogo ____________________ , data __________</w:t>
      </w:r>
    </w:p>
    <w:p w:rsidR="00000000" w:rsidDel="00000000" w:rsidP="00000000" w:rsidRDefault="00000000" w:rsidRPr="00000000" w14:paraId="00000015">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tl w:val="0"/>
        </w:rPr>
      </w:r>
    </w:p>
    <w:p w:rsidR="00000000" w:rsidDel="00000000" w:rsidP="00000000" w:rsidRDefault="00000000" w:rsidRPr="00000000" w14:paraId="00000016">
      <w:pPr>
        <w:widowControl w:val="0"/>
        <w:spacing w:line="276" w:lineRule="auto"/>
        <w:jc w:val="right"/>
        <w:rPr/>
      </w:pPr>
      <w:r w:rsidDel="00000000" w:rsidR="00000000" w:rsidRPr="00000000">
        <w:rPr>
          <w:rFonts w:ascii="Liberation Serif" w:cs="Liberation Serif" w:eastAsia="Liberation Serif" w:hAnsi="Liberation Serif"/>
          <w:sz w:val="24"/>
          <w:szCs w:val="24"/>
          <w:highlight w:val="white"/>
          <w:rtl w:val="0"/>
        </w:rPr>
        <w:t xml:space="preserve">Firma ________________________________</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