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96" w:rsidRDefault="00BB3B96" w:rsidP="00BB3B96">
      <w:pPr>
        <w:pStyle w:val="Paragrafoelenco"/>
        <w:tabs>
          <w:tab w:val="left" w:pos="1088"/>
        </w:tabs>
        <w:spacing w:line="360" w:lineRule="auto"/>
        <w:ind w:right="98"/>
        <w:jc w:val="both"/>
        <w:rPr>
          <w:rFonts w:ascii="Arial Narrow" w:hAnsi="Arial Narrow" w:cs="Arial"/>
          <w:b/>
          <w:lang w:val="it-IT"/>
        </w:rPr>
      </w:pPr>
      <w:r>
        <w:rPr>
          <w:rFonts w:ascii="Arial Narrow" w:hAnsi="Arial Narrow"/>
          <w:b/>
          <w:lang w:val="it-IT"/>
        </w:rPr>
        <w:t xml:space="preserve"> </w:t>
      </w:r>
      <w:r>
        <w:rPr>
          <w:rFonts w:ascii="Arial Narrow" w:hAnsi="Arial Narrow"/>
          <w:b/>
          <w:color w:val="000000"/>
          <w:lang w:val="it-IT"/>
        </w:rPr>
        <w:t xml:space="preserve"> Criteri per l’assegnazione dei docenti ai plessi/classi</w:t>
      </w:r>
    </w:p>
    <w:p w:rsidR="00BB3B96" w:rsidRDefault="00BB3B96" w:rsidP="00BB3B96">
      <w:pPr>
        <w:widowControl/>
        <w:spacing w:line="360" w:lineRule="auto"/>
        <w:jc w:val="both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 xml:space="preserve"> Punto fondante è la “continuità” didattica, salvo situazioni di conflittualità o dinamiche non ottimali nel dialogo educativo tra docenti e famiglie o comunque situazioni che abbiano portato a significative criticità.   </w:t>
      </w:r>
    </w:p>
    <w:p w:rsidR="00BB3B96" w:rsidRPr="00BB3B96" w:rsidRDefault="00BB3B96" w:rsidP="00BB3B96">
      <w:pPr>
        <w:overflowPunct w:val="0"/>
        <w:autoSpaceDE w:val="0"/>
        <w:autoSpaceDN w:val="0"/>
        <w:adjustRightInd w:val="0"/>
        <w:spacing w:after="40" w:line="360" w:lineRule="auto"/>
        <w:jc w:val="both"/>
        <w:rPr>
          <w:rFonts w:ascii="Arial Narrow" w:hAnsi="Arial Narrow" w:cs="Calibri"/>
          <w:kern w:val="2"/>
          <w:lang w:val="it-IT"/>
        </w:rPr>
      </w:pPr>
      <w:r>
        <w:rPr>
          <w:rFonts w:ascii="Arial Narrow" w:hAnsi="Arial Narrow" w:cs="Calibri"/>
          <w:kern w:val="2"/>
          <w:lang w:val="it-IT"/>
        </w:rPr>
        <w:t xml:space="preserve">Considerata la situazione organizzativa dell’Istituto, oltre che la presenza di più plessi di scuole dell’infanzia e primarie,  </w:t>
      </w:r>
      <w:r>
        <w:rPr>
          <w:rFonts w:ascii="Arial Narrow" w:hAnsi="Arial Narrow"/>
          <w:lang w:val="it-IT"/>
        </w:rPr>
        <w:t xml:space="preserve">i  </w:t>
      </w:r>
      <w:r w:rsidRPr="00BB3B96">
        <w:rPr>
          <w:rFonts w:ascii="Arial Narrow" w:hAnsi="Arial Narrow"/>
          <w:lang w:val="it-IT"/>
        </w:rPr>
        <w:t xml:space="preserve">criteri di assegnazione dei docenti ai plessi e alle classi </w:t>
      </w:r>
      <w:r>
        <w:rPr>
          <w:rFonts w:ascii="Arial Narrow" w:hAnsi="Arial Narrow"/>
          <w:lang w:val="it-IT"/>
        </w:rPr>
        <w:t xml:space="preserve"> sono:</w:t>
      </w:r>
      <w:r w:rsidRPr="00BB3B96">
        <w:rPr>
          <w:rFonts w:ascii="Arial Narrow" w:hAnsi="Arial Narrow"/>
          <w:lang w:val="it-IT"/>
        </w:rPr>
        <w:t xml:space="preserve"> </w:t>
      </w:r>
    </w:p>
    <w:p w:rsidR="00BB3B96" w:rsidRDefault="00BB3B96" w:rsidP="00BB3B96">
      <w:pPr>
        <w:overflowPunct w:val="0"/>
        <w:autoSpaceDE w:val="0"/>
        <w:autoSpaceDN w:val="0"/>
        <w:adjustRightInd w:val="0"/>
        <w:spacing w:after="40" w:line="360" w:lineRule="auto"/>
        <w:jc w:val="both"/>
        <w:rPr>
          <w:rFonts w:ascii="Arial Narrow" w:hAnsi="Arial Narrow" w:cs="Calibri"/>
          <w:kern w:val="2"/>
          <w:lang w:val="it-IT"/>
        </w:rPr>
      </w:pPr>
    </w:p>
    <w:p w:rsidR="00BB3B96" w:rsidRDefault="00BB3B96" w:rsidP="00BB3B96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40" w:line="360" w:lineRule="auto"/>
        <w:jc w:val="both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kern w:val="2"/>
          <w:lang w:val="it-IT"/>
        </w:rPr>
        <w:t xml:space="preserve"> </w:t>
      </w:r>
      <w:r>
        <w:rPr>
          <w:rFonts w:ascii="Arial Narrow" w:hAnsi="Arial Narrow" w:cs="Calibri"/>
          <w:kern w:val="2"/>
          <w:sz w:val="24"/>
          <w:szCs w:val="24"/>
        </w:rPr>
        <w:t xml:space="preserve">-la continuità didattica, ove la stessa risponda al soddisfacimento e raggiungimento degli obiettivi didattico-educativi.  </w:t>
      </w:r>
    </w:p>
    <w:p w:rsidR="00BB3B96" w:rsidRDefault="00BB3B96" w:rsidP="00BB3B96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40" w:line="360" w:lineRule="auto"/>
        <w:jc w:val="both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t>-assegnazione su classi e/o plessi diversi rispetto all’a.s. precedente: il/la docente può presentare istanza di “mobilità interna”, entro la scadenza indicata da apposita circolare interna;</w:t>
      </w:r>
    </w:p>
    <w:p w:rsidR="00BB3B96" w:rsidRDefault="00BB3B96" w:rsidP="00BB3B96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40" w:line="360" w:lineRule="auto"/>
        <w:jc w:val="both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t>-in caso di più richieste per la stessa sede, l’ assegnazione viene disposta  seguendo l’ordine della graduatoria interna dei perdenti posto</w:t>
      </w:r>
    </w:p>
    <w:p w:rsidR="00BB3B96" w:rsidRDefault="00BB3B96" w:rsidP="00BB3B96">
      <w:pPr>
        <w:widowControl/>
        <w:numPr>
          <w:ilvl w:val="0"/>
          <w:numId w:val="1"/>
        </w:numPr>
        <w:spacing w:after="200" w:line="360" w:lineRule="auto"/>
        <w:ind w:right="-26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t>-al termine di un ciclo di studio, decadendo la continuità didattica, non è vincolante la permanenza nel plesso</w:t>
      </w:r>
      <w:r>
        <w:rPr>
          <w:rFonts w:ascii="Arial Narrow" w:hAnsi="Arial Narrow"/>
          <w:sz w:val="24"/>
          <w:szCs w:val="24"/>
        </w:rPr>
        <w:t>.</w:t>
      </w:r>
    </w:p>
    <w:p w:rsidR="00ED5B43" w:rsidRDefault="00ED5B43" w:rsidP="00ED5B43">
      <w:pPr>
        <w:widowControl/>
        <w:spacing w:after="200" w:line="360" w:lineRule="auto"/>
        <w:ind w:right="-26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Sono salvaguardate le precedenze di cui all’art. 13 del CCNL sulla mobilità</w:t>
      </w:r>
      <w:bookmarkStart w:id="0" w:name="_GoBack"/>
      <w:bookmarkEnd w:id="0"/>
    </w:p>
    <w:p w:rsidR="00724AF4" w:rsidRDefault="00724AF4"/>
    <w:sectPr w:rsidR="00724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D35D3"/>
    <w:multiLevelType w:val="hybridMultilevel"/>
    <w:tmpl w:val="2BBE6A20"/>
    <w:lvl w:ilvl="0" w:tplc="0410000F">
      <w:start w:val="1"/>
      <w:numFmt w:val="decimal"/>
      <w:lvlText w:val="%1."/>
      <w:lvlJc w:val="left"/>
      <w:pPr>
        <w:ind w:left="1916" w:hanging="360"/>
      </w:pPr>
    </w:lvl>
    <w:lvl w:ilvl="1" w:tplc="04100019">
      <w:start w:val="1"/>
      <w:numFmt w:val="lowerLetter"/>
      <w:lvlText w:val="%2."/>
      <w:lvlJc w:val="left"/>
      <w:pPr>
        <w:ind w:left="2636" w:hanging="360"/>
      </w:pPr>
    </w:lvl>
    <w:lvl w:ilvl="2" w:tplc="0410001B">
      <w:start w:val="1"/>
      <w:numFmt w:val="lowerRoman"/>
      <w:lvlText w:val="%3."/>
      <w:lvlJc w:val="right"/>
      <w:pPr>
        <w:ind w:left="3356" w:hanging="180"/>
      </w:pPr>
    </w:lvl>
    <w:lvl w:ilvl="3" w:tplc="0410000F">
      <w:start w:val="1"/>
      <w:numFmt w:val="decimal"/>
      <w:lvlText w:val="%4."/>
      <w:lvlJc w:val="left"/>
      <w:pPr>
        <w:ind w:left="4076" w:hanging="360"/>
      </w:pPr>
    </w:lvl>
    <w:lvl w:ilvl="4" w:tplc="04100019">
      <w:start w:val="1"/>
      <w:numFmt w:val="lowerLetter"/>
      <w:lvlText w:val="%5."/>
      <w:lvlJc w:val="left"/>
      <w:pPr>
        <w:ind w:left="4796" w:hanging="360"/>
      </w:pPr>
    </w:lvl>
    <w:lvl w:ilvl="5" w:tplc="0410001B">
      <w:start w:val="1"/>
      <w:numFmt w:val="lowerRoman"/>
      <w:lvlText w:val="%6."/>
      <w:lvlJc w:val="right"/>
      <w:pPr>
        <w:ind w:left="5516" w:hanging="180"/>
      </w:pPr>
    </w:lvl>
    <w:lvl w:ilvl="6" w:tplc="0410000F">
      <w:start w:val="1"/>
      <w:numFmt w:val="decimal"/>
      <w:lvlText w:val="%7."/>
      <w:lvlJc w:val="left"/>
      <w:pPr>
        <w:ind w:left="6236" w:hanging="360"/>
      </w:pPr>
    </w:lvl>
    <w:lvl w:ilvl="7" w:tplc="04100019">
      <w:start w:val="1"/>
      <w:numFmt w:val="lowerLetter"/>
      <w:lvlText w:val="%8."/>
      <w:lvlJc w:val="left"/>
      <w:pPr>
        <w:ind w:left="6956" w:hanging="360"/>
      </w:pPr>
    </w:lvl>
    <w:lvl w:ilvl="8" w:tplc="0410001B">
      <w:start w:val="1"/>
      <w:numFmt w:val="lowerRoman"/>
      <w:lvlText w:val="%9."/>
      <w:lvlJc w:val="right"/>
      <w:pPr>
        <w:ind w:left="767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96"/>
    <w:rsid w:val="00724AF4"/>
    <w:rsid w:val="00BB3B96"/>
    <w:rsid w:val="00E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4719"/>
  <w15:chartTrackingRefBased/>
  <w15:docId w15:val="{B39F866A-CCAA-4A18-B082-2FE5B0DD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3B9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olo2">
    <w:name w:val="heading 2"/>
    <w:basedOn w:val="Normale"/>
    <w:link w:val="Titolo2Carattere"/>
    <w:uiPriority w:val="99"/>
    <w:semiHidden/>
    <w:unhideWhenUsed/>
    <w:qFormat/>
    <w:rsid w:val="00BB3B96"/>
    <w:pPr>
      <w:ind w:left="118"/>
      <w:outlineLvl w:val="1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BB3B96"/>
    <w:rPr>
      <w:rFonts w:ascii="Calibri" w:eastAsia="Times New Roman" w:hAnsi="Calibri" w:cs="Times New Roman"/>
      <w:b/>
      <w:bCs/>
      <w:lang w:val="en-US"/>
    </w:rPr>
  </w:style>
  <w:style w:type="paragraph" w:styleId="Paragrafoelenco">
    <w:name w:val="List Paragraph"/>
    <w:basedOn w:val="Normale"/>
    <w:uiPriority w:val="99"/>
    <w:qFormat/>
    <w:rsid w:val="00BB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>Comune di Udine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Tullia Trimarchi</dc:creator>
  <cp:keywords/>
  <dc:description/>
  <cp:lastModifiedBy>Tullia Trimarchi</cp:lastModifiedBy>
  <cp:revision>3</cp:revision>
  <dcterms:created xsi:type="dcterms:W3CDTF">2019-06-22T14:22:00Z</dcterms:created>
  <dcterms:modified xsi:type="dcterms:W3CDTF">2019-06-24T09:01:00Z</dcterms:modified>
</cp:coreProperties>
</file>