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/>
      </w:pPr>
      <w:bookmarkStart w:id="0" w:name="OLE_LINK23"/>
      <w:bookmarkStart w:id="1" w:name="OLE_LINK22"/>
      <w:bookmarkEnd w:id="0"/>
      <w:bookmarkEnd w:id="1"/>
      <w:r>
        <w:rPr/>
        <w:t xml:space="preserve">        </w:t>
      </w:r>
    </w:p>
    <w:p>
      <w:pPr>
        <w:pStyle w:val="Standard"/>
        <w:rPr>
          <w:rFonts w:cs="Calibri"/>
          <w:b/>
          <w:b/>
          <w:bCs/>
          <w:color w:val="000000"/>
          <w:sz w:val="16"/>
          <w:szCs w:val="16"/>
        </w:rPr>
      </w:pPr>
      <w:r>
        <w:rPr>
          <w:rFonts w:cs="Calibri"/>
          <w:b/>
          <w:bCs/>
          <w:color w:val="000000"/>
          <w:sz w:val="16"/>
          <w:szCs w:val="16"/>
        </w:rPr>
      </w:r>
    </w:p>
    <w:p>
      <w:pPr>
        <w:pStyle w:val="Standard"/>
        <w:rPr/>
      </w:pPr>
      <w:r>
        <w:rPr>
          <w:b/>
          <w:sz w:val="22"/>
          <w:szCs w:val="22"/>
        </w:rPr>
        <w:t>ALL. A</w:t>
      </w:r>
    </w:p>
    <w:p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ab/>
        <w:tab/>
        <w:t>Al Dirigente Scolastico</w:t>
      </w:r>
    </w:p>
    <w:p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ab/>
        <w:tab/>
        <w:t>Istituto Comprensivo “Don Lorenzo Milani”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widowControl w:val="false"/>
        <w:tabs>
          <w:tab w:val="clear" w:pos="720"/>
          <w:tab w:val="left" w:pos="1733" w:leader="none"/>
        </w:tabs>
        <w:ind w:right="284" w:hanging="0"/>
        <w:jc w:val="both"/>
        <w:rPr/>
      </w:pPr>
      <w:r>
        <w:rPr>
          <w:b/>
          <w:sz w:val="22"/>
          <w:szCs w:val="22"/>
        </w:rPr>
        <w:t xml:space="preserve">Oggetto: </w:t>
      </w:r>
      <w:r>
        <w:rPr>
          <w:b/>
          <w:i w:val="false"/>
          <w:iCs w:val="false"/>
          <w:sz w:val="22"/>
          <w:szCs w:val="22"/>
        </w:rPr>
        <w:t xml:space="preserve">Istanza di partecipazione per la selezione </w:t>
      </w:r>
      <w:r>
        <w:rPr>
          <w:rFonts w:cs="Calibri"/>
          <w:b/>
          <w:i w:val="false"/>
          <w:iCs w:val="false"/>
          <w:sz w:val="22"/>
          <w:szCs w:val="22"/>
        </w:rPr>
        <w:t>di esperti per la realizzazione di 36 percorsi di mentoring e orientamento a valere sul progetto:</w:t>
      </w:r>
    </w:p>
    <w:p>
      <w:pPr>
        <w:pStyle w:val="Standard"/>
        <w:widowControl w:val="false"/>
        <w:tabs>
          <w:tab w:val="clear" w:pos="720"/>
          <w:tab w:val="left" w:pos="1733" w:leader="none"/>
        </w:tabs>
        <w:ind w:right="284" w:hanging="0"/>
        <w:jc w:val="both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Standard"/>
        <w:widowControl w:val="false"/>
        <w:tabs>
          <w:tab w:val="clear" w:pos="720"/>
          <w:tab w:val="left" w:pos="1733" w:leader="none"/>
        </w:tabs>
        <w:ind w:right="284" w:hanging="0"/>
        <w:jc w:val="both"/>
        <w:rPr>
          <w:rFonts w:cs="Calibri"/>
          <w:bCs/>
          <w:i/>
          <w:i/>
          <w:iCs/>
        </w:rPr>
      </w:pPr>
      <w:r>
        <w:rPr>
          <w:rFonts w:cs="Calibri"/>
          <w:bCs/>
          <w:i/>
          <w:iCs/>
        </w:rPr>
        <w:t>Piano Nazionale Di Ripresa E Resilienza Missione 4: Istruzione E Ricerca Componente 1 – Potenziamento dell’offerta dei servizi di istruzione: dagli asili nido alle Università</w:t>
      </w:r>
    </w:p>
    <w:p>
      <w:pPr>
        <w:pStyle w:val="Standard"/>
        <w:widowControl w:val="false"/>
        <w:tabs>
          <w:tab w:val="clear" w:pos="720"/>
          <w:tab w:val="left" w:pos="1733" w:leader="none"/>
        </w:tabs>
        <w:ind w:right="284" w:hanging="0"/>
        <w:jc w:val="both"/>
        <w:rPr>
          <w:rFonts w:cs="Calibri"/>
          <w:bCs/>
          <w:i/>
          <w:i/>
          <w:iCs/>
        </w:rPr>
      </w:pPr>
      <w:r>
        <w:rPr>
          <w:rFonts w:cs="Calibri"/>
          <w:bCs/>
          <w:i/>
          <w:iCs/>
        </w:rPr>
        <w:t>Investimento 1.4: Intervento straordinario finalizzato alla riduzione dei divari territoriali nelle scuole secondarie di primo e di secondo grado e alla lotta alla dispersione scolastica</w:t>
      </w:r>
    </w:p>
    <w:p>
      <w:pPr>
        <w:pStyle w:val="Standard"/>
        <w:widowControl w:val="false"/>
        <w:tabs>
          <w:tab w:val="clear" w:pos="720"/>
          <w:tab w:val="left" w:pos="1733" w:leader="none"/>
        </w:tabs>
        <w:ind w:right="284" w:hanging="0"/>
        <w:jc w:val="both"/>
        <w:rPr>
          <w:rFonts w:cs="Calibri"/>
          <w:bCs/>
          <w:i/>
          <w:i/>
          <w:iCs/>
        </w:rPr>
      </w:pPr>
      <w:r>
        <w:rPr>
          <w:rFonts w:cs="Calibri"/>
          <w:bCs/>
          <w:i/>
          <w:iCs/>
        </w:rPr>
        <w:t>Interventi di tutoraggio e formazione per la riduzione dei divari negli apprendimenti e il contrasto alla dispersione scolastica (D.M. 2 febbraio 2024, n. 19)</w:t>
      </w:r>
      <w:bookmarkStart w:id="2" w:name="_Hlk182473947"/>
      <w:bookmarkEnd w:id="2"/>
    </w:p>
    <w:p>
      <w:pPr>
        <w:pStyle w:val="Didefault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pacing w:lineRule="auto" w:line="240" w:before="0" w:after="0"/>
        <w:jc w:val="both"/>
        <w:rPr>
          <w:rStyle w:val="Nessuno"/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Didefault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pacing w:lineRule="auto" w:line="240" w:before="0" w:after="0"/>
        <w:jc w:val="both"/>
        <w:rPr/>
      </w:pPr>
      <w:r>
        <w:rPr>
          <w:rStyle w:val="Nessuno"/>
          <w:rFonts w:ascii="Times New Roman" w:hAnsi="Times New Roman"/>
          <w:b/>
          <w:bCs/>
          <w:sz w:val="20"/>
          <w:szCs w:val="20"/>
        </w:rPr>
        <w:t xml:space="preserve">CUP: </w:t>
      </w:r>
      <w:r>
        <w:rPr>
          <w:rStyle w:val="Nessuno"/>
          <w:rFonts w:ascii="Times New Roman" w:hAnsi="Times New Roman"/>
          <w:b/>
          <w:bCs/>
          <w:color w:val="212529"/>
          <w:sz w:val="20"/>
          <w:szCs w:val="20"/>
        </w:rPr>
        <w:t>F34D21001070006</w:t>
      </w:r>
    </w:p>
    <w:p>
      <w:pPr>
        <w:pStyle w:val="Didefault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pacing w:lineRule="auto" w:line="240" w:before="0" w:after="0"/>
        <w:jc w:val="both"/>
        <w:rPr/>
      </w:pPr>
      <w:r>
        <w:rPr>
          <w:rStyle w:val="Nessuno"/>
          <w:rFonts w:ascii="Times New Roman" w:hAnsi="Times New Roman"/>
          <w:b/>
          <w:bCs/>
          <w:sz w:val="20"/>
          <w:szCs w:val="20"/>
        </w:rPr>
        <w:t xml:space="preserve">Identificativo progetto: </w:t>
      </w:r>
      <w:r>
        <w:rPr>
          <w:rStyle w:val="Nessuno"/>
          <w:rFonts w:ascii="Times New Roman" w:hAnsi="Times New Roman"/>
          <w:b/>
          <w:bCs/>
          <w:color w:val="212529"/>
          <w:sz w:val="20"/>
          <w:szCs w:val="20"/>
        </w:rPr>
        <w:t>M4C1I1.4-2024-1322-P-52175</w:t>
      </w:r>
    </w:p>
    <w:p>
      <w:pPr>
        <w:pStyle w:val="Didefault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spacing w:lineRule="auto" w:line="240" w:before="0" w:after="0"/>
        <w:jc w:val="both"/>
        <w:rPr>
          <w:lang w:val="en-US"/>
        </w:rPr>
      </w:pPr>
      <w:r>
        <w:rPr>
          <w:rStyle w:val="Nessuno"/>
          <w:rFonts w:ascii="Times New Roman" w:hAnsi="Times New Roman"/>
          <w:b/>
          <w:bCs/>
          <w:sz w:val="20"/>
          <w:szCs w:val="20"/>
          <w:lang w:val="en-US"/>
        </w:rPr>
        <w:t>Titolo progetto: “We do need more education”</w:t>
      </w:r>
    </w:p>
    <w:p>
      <w:pPr>
        <w:pStyle w:val="Standard"/>
        <w:spacing w:lineRule="auto" w:line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Cognome e Nome 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Data di nascita ____ / _____ / ______   Luogo di Nascita 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Provincia _______________________________________________________________________________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Comune Residenza 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Indirizzo e CAP __________________________________________________________________________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e-mail __________________________________________________________________________________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Telefono ________________________________________________________________________________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di essere ammesso/a alla procedura di selezione di cui all’oggetto </w:t>
      </w:r>
      <w:r>
        <w:rPr>
          <w:sz w:val="22"/>
          <w:szCs w:val="22"/>
        </w:rPr>
        <w:t>e di essere inserito/a nella relativa graduatoria per i seguenti interventi:</w:t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3912"/>
        <w:gridCol w:w="3792"/>
        <w:gridCol w:w="1309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0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MOD.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TIPOLOGIA DI INTERVENTO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Sede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Scuola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sz w:val="16"/>
                <w:szCs w:val="16"/>
              </w:rPr>
            </w:pPr>
            <w:r>
              <w:rPr>
                <w:rFonts w:cs="Arial Unicode MS" w:ascii="Times New Roman" w:hAnsi="Times New Roman"/>
                <w:sz w:val="16"/>
                <w:szCs w:val="16"/>
              </w:rPr>
              <w:t>CANDIDATURA</w:t>
            </w:r>
          </w:p>
          <w:p>
            <w:pPr>
              <w:pStyle w:val="Contenutotabella"/>
              <w:jc w:val="both"/>
              <w:rPr>
                <w:sz w:val="22"/>
                <w:szCs w:val="22"/>
              </w:rPr>
            </w:pPr>
            <w:r>
              <w:rPr>
                <w:rFonts w:cs="Arial Unicode MS" w:ascii="Times New Roman" w:hAnsi="Times New Roman"/>
                <w:sz w:val="16"/>
                <w:szCs w:val="16"/>
              </w:rPr>
              <w:t>(indicare con una X)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TEDESCO E METODO DI STUDIO CLASSE SECONDA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INGLESE E METODO DI STUDIO CLASSE TERZA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TEDESCO E METODO DI STUDIO CLASSE TERZA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MATEMATICA E METODO DI STUDIO CLASSE SECONDA  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CLASSI TERZE 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CLASSI TERZE B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CLASSI TERZE C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CLASSI PRIME 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CLASSI PRIME B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CLASSI PRIME C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CLASSI PRIME D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ITALIANO E METODO DI STUDIO CLASSI SECONDE A 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ITALIANO E METODO DI STUDIO CLASSI SECONDE B 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CLASSI TERZE 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CLASSI TERZE B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CLASSI TERZE C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BIS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MATEMATICA E METODO DI STUDIO BIS 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Aquileia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TEDESCO E METODO DI STUDIO CLASSE SECONDA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bookmarkStart w:id="3" w:name="__DdeLink__11397_2231049344"/>
            <w:r>
              <w:rPr>
                <w:sz w:val="20"/>
                <w:szCs w:val="20"/>
              </w:rPr>
              <w:t>Secondaria di Fiumicello Villa Vicentina</w:t>
            </w:r>
            <w:bookmarkEnd w:id="3"/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INGLESE E METODO DI STUDIO CLASSE SECONDA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TEDESCO E METODO DI STUDIO CLASSE TERZA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INGLESE E METODO DI STUDIO CLASSE TERZA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B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C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D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MATEMATICA E METODO DI STUDIO E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CLASSI TERZE 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CLASSI TERZE B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CLASSI TERZE C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ITALIANO E METODO DI STUDIO CLASSI TERZE D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A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B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C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D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Mentoring e orientamento – Rinforzo e recupero delle competenze </w:t>
            </w:r>
          </w:p>
          <w:p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METODO DI STUDIO E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Secondaria di Fiumicello Villa Vicentina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Sotto la personale responsabilità di essere in possesso dei titoli di accesso ai sensi dell’Art. 2 dell’avviso di selezione e precisamente di: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 titolo di studio che consente l’accesso all’insegnamento;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dell’Unione europea;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penali;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aver preso visione dell’Avviso e di approvarne senza riserva ogni contenuto;</w:t>
      </w:r>
    </w:p>
    <w:p>
      <w:pPr>
        <w:pStyle w:val="Standard"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essere consapevole che può anche non ricevere alcun incarico/contratto;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non essere parente o affine entro il quarto grado del legale rappresentante dell'Istituto e di altro personale che ha preso parte alla predisposizione dell’avviso di reclutamento, alla comparazione dei curricula degli astanti e alla stesura delle graduatorie dei candidati.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Dichiara, ai fini dell’autovalutazione i seguenti punti afferenti alla tabella di valutazione e autocertifica gli stessi: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tenutotabella"/>
        <w:jc w:val="both"/>
        <w:rPr>
          <w:rFonts w:ascii="Times New Roman" w:hAnsi="Times New Roman" w:cs="Arial Unicode MS"/>
          <w:sz w:val="22"/>
          <w:szCs w:val="22"/>
        </w:rPr>
      </w:pPr>
      <w:r>
        <w:rPr>
          <w:rFonts w:cs="Arial Unicode MS" w:ascii="Times New Roman" w:hAnsi="Times New Roman"/>
          <w:sz w:val="22"/>
          <w:szCs w:val="22"/>
        </w:rPr>
      </w:r>
    </w:p>
    <w:tbl>
      <w:tblPr>
        <w:tblW w:w="9643" w:type="dxa"/>
        <w:jc w:val="left"/>
        <w:tblInd w:w="-15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754"/>
        <w:gridCol w:w="1444"/>
        <w:gridCol w:w="1445"/>
      </w:tblGrid>
      <w:tr>
        <w:trPr>
          <w:trHeight w:val="443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TITOLI DI STUDIO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Punti dichiarati</w:t>
            </w:r>
          </w:p>
        </w:tc>
      </w:tr>
      <w:tr>
        <w:trPr>
          <w:trHeight w:val="563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in Psicologia, Laurea in Scienze della formazione, Laurea in Scienze della formazione e dell’educazione, Laurea in Psicopedagogia (votazione: 110 e lode)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58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di cui sopra con votazione da 100 a 110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di cui sopra con votazione inferiore a 100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22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Dottorati di ricerca, Master, Specializzazioni, Corsi di perfezionamento post lauream, coerenti con il progetto (3 punti per ogni titolo, max. 5 titoli)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15 punti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formazione fruiti in qualità di discente attinenti al progetto (2 punti</w:t>
            </w:r>
          </w:p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ogni corso, max. 5 corsi)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10 punti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32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Pubblicazioni coerenti con l’incarico (1 punto per ogni pubblicazione, max. 6 pubblicazioni)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6 punti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77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uto" w:line="24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TITOLI DI SERVIZIO O PROFESSIONALI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77" w:hRule="atLeast"/>
        </w:trPr>
        <w:tc>
          <w:tcPr>
            <w:tcW w:w="67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ind w:right="5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25 punti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08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30 punti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270" w:hRule="atLeast"/>
        </w:trPr>
        <w:tc>
          <w:tcPr>
            <w:tcW w:w="6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informatiche</w:t>
            </w:r>
          </w:p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ECDL start (o simili) – quattro esami (p. 1)</w:t>
            </w:r>
          </w:p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ECDL full (o simili) – sette esami (p. 2)</w:t>
            </w:r>
          </w:p>
          <w:p>
            <w:pPr>
              <w:pStyle w:val="Standard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ECDL advanced (o simili) – (p. 3)</w:t>
            </w:r>
          </w:p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ECDL specialized (o simili) – (p. 5)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 punti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451" w:hRule="atLeast"/>
        </w:trPr>
        <w:tc>
          <w:tcPr>
            <w:tcW w:w="675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 max PUNTI: 115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4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Contenutotabella"/>
        <w:jc w:val="both"/>
        <w:rPr>
          <w:rFonts w:ascii="Times New Roman" w:hAnsi="Times New Roman" w:cs="Arial Unicode MS"/>
          <w:sz w:val="22"/>
          <w:szCs w:val="22"/>
        </w:rPr>
      </w:pPr>
      <w:r>
        <w:rPr>
          <w:rFonts w:cs="Arial Unicode MS" w:ascii="Times New Roman" w:hAnsi="Times New Roman"/>
          <w:sz w:val="22"/>
          <w:szCs w:val="22"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di candidarsi in qualità di esperto per l’avviso in oggetto.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Elegge come domicilio per le comunicazioni relative alla selezione la propria residenza: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altro domicilio: _________________________________________________________________________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Si allegano i sottoelencati documenti: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Copia di un documento di identità valido;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Curriculum Vitae con indicati i riferimenti dei titoli oggetto di valutazione ai sensi dell’art. 3 dell’avviso di selezione (Tabella di valutazione);</w:t>
      </w:r>
    </w:p>
    <w:p>
      <w:pPr>
        <w:pStyle w:val="Standard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Curriculum Vitae epurato di dati sensibili finalizzato alla pubblicazione.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Il/la sottoscritto/a _________________________, nato/a a ____________________, il_________________,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residente a ___________________, in via/piazza_______________________, n.__,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C.F.______________________________, con la presente, ai sensi e per gli effetti del Regolamento UE 2016/679 e del Codice in materia di trattamento dei dati personali di cui al d.lgs. 196/2003 come modificato</w:t>
      </w:r>
    </w:p>
    <w:p>
      <w:pPr>
        <w:pStyle w:val="Standard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dal d.lgs. 101/2018,</w:t>
      </w:r>
    </w:p>
    <w:p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dell’Informativa privacy pubblicata sul sito istituzionale ai sensi dell’articolo 13 del Regolamento UE 2016/679 ed</w:t>
      </w:r>
    </w:p>
    <w:p>
      <w:pPr>
        <w:pStyle w:val="Standard"/>
        <w:spacing w:lineRule="auto" w:line="360"/>
        <w:jc w:val="both"/>
        <w:rPr>
          <w:sz w:val="22"/>
          <w:szCs w:val="22"/>
        </w:rPr>
      </w:pPr>
      <w:r>
        <w:rPr>
          <w:rFonts w:eastAsia="Symbol" w:cs="Symbol"/>
          <w:sz w:val="22"/>
          <w:szCs w:val="22"/>
        </w:rPr>
        <w:t></w:t>
      </w: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esprime il consenso </w:t>
        <w:tab/>
        <w:tab/>
        <w:t xml:space="preserve">                                          </w:t>
      </w:r>
      <w:r>
        <w:rPr>
          <w:rFonts w:eastAsia="Symbol" w:cs="Symbol"/>
          <w:b/>
          <w:sz w:val="22"/>
          <w:szCs w:val="22"/>
        </w:rPr>
        <w:t></w:t>
      </w:r>
      <w:r>
        <w:rPr>
          <w:b/>
          <w:sz w:val="22"/>
          <w:szCs w:val="22"/>
        </w:rPr>
        <w:t xml:space="preserve"> non esprime il consenso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al trattamento dei propri dati personali.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 INOLTRE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di impegnarsi a documentare puntualmente tutta l’attività svolta;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di essere disponibile ad adattarsi al calendario definito dal Gruppo di lavoro;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di non essere in alcuna delle condizioni di incompatibilità con l’incarico previsti dalla norma vigente;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di avere la competenza informatica all’uso della piattaforma FUTURA/Gestione progetti PNR.</w:t>
      </w:r>
    </w:p>
    <w:p>
      <w:pPr>
        <w:pStyle w:val="Standard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left" w:pos="6379" w:leader="none"/>
        </w:tabs>
        <w:ind w:right="-328" w:hanging="0"/>
        <w:rPr/>
      </w:pPr>
      <w:r>
        <w:rPr>
          <w:rFonts w:cs="Calibri"/>
          <w:b/>
          <w:bCs/>
          <w:color w:val="000000"/>
          <w:sz w:val="16"/>
          <w:szCs w:val="16"/>
        </w:rPr>
        <w:t>Luogo e Data</w:t>
        <w:tab/>
        <w:tab/>
        <w:tab/>
        <w:tab/>
        <w:tab/>
        <w:tab/>
        <w:tab/>
        <w:tab/>
        <w:tab/>
        <w:tab/>
        <w:t xml:space="preserve"> Firma</w:t>
      </w:r>
    </w:p>
    <w:sectPr>
      <w:headerReference w:type="default" r:id="rId2"/>
      <w:type w:val="nextPage"/>
      <w:pgSz w:w="11906" w:h="16838"/>
      <w:pgMar w:left="1134" w:right="1134" w:header="284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160"/>
      <w:jc w:val="center"/>
      <w:rPr/>
    </w:pPr>
    <w:r>
      <w:rPr/>
      <w:drawing>
        <wp:inline distT="0" distB="0" distL="0" distR="0">
          <wp:extent cx="5667375" cy="942975"/>
          <wp:effectExtent l="0" t="0" r="0" b="0"/>
          <wp:docPr id="1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spacing w:before="0" w:after="160"/>
      <w:jc w:val="center"/>
      <w:rPr/>
    </w:pPr>
    <w:r>
      <w:rPr/>
      <w:drawing>
        <wp:inline distT="0" distB="0" distL="0" distR="0">
          <wp:extent cx="5610225" cy="1010920"/>
          <wp:effectExtent l="0" t="0" r="0" b="0"/>
          <wp:docPr id="2" name="Immagine 3" descr="Intestazione don MILANI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ntestazione don MILANI 202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01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sz w:val="22"/>
        <w:rFonts w:cs="Arial"/>
        <w:lang w:val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LO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LO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LO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af234c"/>
    <w:rPr>
      <w:rFonts w:ascii="Tahoma" w:hAnsi="Tahoma" w:cs="Tahoma"/>
      <w:sz w:val="16"/>
      <w:szCs w:val="16"/>
      <w:lang w:eastAsia="en-US"/>
    </w:rPr>
  </w:style>
  <w:style w:type="character" w:styleId="IntestazioneCarattere" w:customStyle="1">
    <w:name w:val="Intestazione Carattere"/>
    <w:link w:val="Intestazione"/>
    <w:uiPriority w:val="99"/>
    <w:qFormat/>
    <w:rsid w:val="00065c25"/>
    <w:rPr>
      <w:sz w:val="22"/>
      <w:szCs w:val="22"/>
      <w:lang w:eastAsia="en-US"/>
    </w:rPr>
  </w:style>
  <w:style w:type="character" w:styleId="PidipaginaCarattere" w:customStyle="1">
    <w:name w:val="Piè di pagina Carattere"/>
    <w:link w:val="Pidipagina"/>
    <w:uiPriority w:val="99"/>
    <w:qFormat/>
    <w:rsid w:val="00065c25"/>
    <w:rPr>
      <w:sz w:val="22"/>
      <w:szCs w:val="22"/>
      <w:lang w:eastAsia="en-US"/>
    </w:rPr>
  </w:style>
  <w:style w:type="character" w:styleId="Fontstyle01" w:customStyle="1">
    <w:name w:val="fontstyle01"/>
    <w:qFormat/>
    <w:rsid w:val="003b68d8"/>
    <w:rPr>
      <w:rFonts w:ascii="Garamond" w:hAnsi="Garamond"/>
      <w:b w:val="false"/>
      <w:bCs w:val="false"/>
      <w:i w:val="false"/>
      <w:iCs w:val="false"/>
      <w:color w:val="000000"/>
      <w:sz w:val="24"/>
      <w:szCs w:val="24"/>
    </w:rPr>
  </w:style>
  <w:style w:type="character" w:styleId="Nessuno" w:customStyle="1">
    <w:name w:val="Nessuno"/>
    <w:qFormat/>
    <w:rPr/>
  </w:style>
  <w:style w:type="character" w:styleId="NessunoA" w:customStyle="1">
    <w:name w:val="Nessuno A"/>
    <w:qFormat/>
    <w:rPr/>
  </w:style>
  <w:style w:type="character" w:styleId="Hyperlink2" w:customStyle="1">
    <w:name w:val="Hyperlink.2"/>
    <w:basedOn w:val="Nessuno"/>
    <w:qFormat/>
    <w:rPr>
      <w:rFonts w:ascii="Times New Roman" w:hAnsi="Times New Roman" w:eastAsia="Times New Roman" w:cs="Times New Roman"/>
      <w:caps w:val="false"/>
      <w:smallCaps w:val="false"/>
      <w:color w:val="0000FF"/>
      <w:position w:val="0"/>
      <w:sz w:val="18"/>
      <w:sz w:val="18"/>
      <w:szCs w:val="18"/>
      <w:shd w:fill="auto" w:val="clear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cs="Arial"/>
      <w:caps w:val="false"/>
      <w:smallCaps w:val="false"/>
      <w:lang w:val="it-IT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234c"/>
    <w:pPr/>
    <w:rPr>
      <w:rFonts w:ascii="Tahoma" w:hAnsi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65c2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65c2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efault" w:customStyle="1">
    <w:name w:val="Di default"/>
    <w:qFormat/>
    <w:pPr>
      <w:widowControl/>
      <w:overflowPunct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Default" w:customStyle="1">
    <w:name w:val="Default"/>
    <w:qFormat/>
    <w:rsid w:val="002c72ab"/>
    <w:pPr>
      <w:widowControl/>
      <w:overflowPunct w:val="false"/>
      <w:bidi w:val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it-IT" w:eastAsia="en-US" w:bidi="ar-SA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hi-IN"/>
    </w:rPr>
  </w:style>
  <w:style w:type="paragraph" w:styleId="Normale1" w:customStyle="1">
    <w:name w:val="Normale1"/>
    <w:qFormat/>
    <w:pPr>
      <w:widowControl/>
      <w:overflowPunct w:val="false"/>
      <w:bidi w:val="0"/>
      <w:spacing w:lineRule="auto" w:line="276"/>
      <w:jc w:val="left"/>
    </w:pPr>
    <w:rPr>
      <w:rFonts w:ascii="Arial" w:hAnsi="Arial" w:eastAsia="Arial" w:cs="Arial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/>
    </w:rPr>
  </w:style>
  <w:style w:type="paragraph" w:styleId="LOnormal1" w:customStyle="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Sottotitolo">
    <w:name w:val="Subtitle"/>
    <w:basedOn w:val="LO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" w:customStyle="1">
    <w:name w:val="LO-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a91c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58DA-4A00-0D48-81CF-4EEBA8E7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Application>LibreOffice/6.3.1.2$Windows_X86_64 LibreOffice_project/b79626edf0065ac373bd1df5c28bd630b4424273</Application>
  <Pages>7</Pages>
  <Words>1522</Words>
  <Characters>9648</Characters>
  <CharactersWithSpaces>11094</CharactersWithSpaces>
  <Paragraphs>235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2024-11-21T12:23:00Z</dcterms:created>
  <dc:creator>Daniele Travain</dc:creator>
  <dc:description/>
  <dc:language>it-IT</dc:language>
  <cp:lastModifiedBy/>
  <cp:lastPrinted>2025-07-30T11:27:58Z</cp:lastPrinted>
  <dcterms:modified xsi:type="dcterms:W3CDTF">2025-07-30T13:15:10Z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